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0" w:firstLineChars="200"/>
        <w:jc w:val="center"/>
        <w:rPr>
          <w:rFonts w:hint="default" w:ascii="方正小标宋简体" w:hAnsi="宋体" w:eastAsia="方正小标宋简体"/>
          <w:color w:val="auto"/>
          <w:sz w:val="36"/>
          <w:szCs w:val="36"/>
          <w:highlight w:val="none"/>
          <w:lang w:val="en-US" w:eastAsia="zh-CN"/>
        </w:rPr>
      </w:pPr>
      <w:bookmarkStart w:id="1" w:name="_GoBack"/>
      <w:r>
        <w:rPr>
          <w:rFonts w:hint="eastAsia" w:ascii="方正小标宋简体" w:hAnsi="宋体" w:eastAsia="方正小标宋简体"/>
          <w:color w:val="auto"/>
          <w:sz w:val="36"/>
          <w:szCs w:val="36"/>
          <w:highlight w:val="none"/>
          <w:lang w:val="en-US" w:eastAsia="zh-CN"/>
        </w:rPr>
        <w:t>济宁医学院</w:t>
      </w:r>
    </w:p>
    <w:p>
      <w:pPr>
        <w:spacing w:line="360" w:lineRule="auto"/>
        <w:ind w:left="0" w:firstLine="720" w:firstLineChars="200"/>
        <w:jc w:val="center"/>
        <w:rPr>
          <w:rFonts w:ascii="黑体" w:eastAsia="黑体"/>
          <w:color w:val="auto"/>
          <w:sz w:val="36"/>
          <w:szCs w:val="36"/>
          <w:highlight w:val="none"/>
        </w:rPr>
      </w:pPr>
      <w:r>
        <w:rPr>
          <w:rFonts w:hint="eastAsia" w:ascii="方正小标宋简体" w:hAnsi="宋体" w:eastAsia="方正小标宋简体"/>
          <w:color w:val="auto"/>
          <w:sz w:val="36"/>
          <w:szCs w:val="36"/>
          <w:highlight w:val="none"/>
        </w:rPr>
        <w:t>儿外科学硕士专业学位研究生培养方案</w:t>
      </w:r>
    </w:p>
    <w:p>
      <w:pPr>
        <w:pStyle w:val="3"/>
        <w:spacing w:line="360" w:lineRule="auto"/>
        <w:ind w:left="0" w:firstLine="560" w:firstLineChars="200"/>
        <w:jc w:val="left"/>
        <w:rPr>
          <w:rFonts w:hint="eastAsia" w:ascii="黑体" w:eastAsia="黑体"/>
          <w:color w:val="auto"/>
          <w:highlight w:val="none"/>
        </w:rPr>
      </w:pPr>
    </w:p>
    <w:p>
      <w:pPr>
        <w:adjustRightInd w:val="0"/>
        <w:snapToGrid w:val="0"/>
        <w:spacing w:line="560" w:lineRule="exact"/>
        <w:ind w:left="0" w:firstLine="640" w:firstLineChars="200"/>
        <w:jc w:val="both"/>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第一条 培养目标与要求</w:t>
      </w:r>
    </w:p>
    <w:p>
      <w:pPr>
        <w:adjustRightInd w:val="0"/>
        <w:snapToGrid w:val="0"/>
        <w:spacing w:line="560" w:lineRule="exact"/>
        <w:ind w:left="0" w:firstLine="640" w:firstLineChars="200"/>
        <w:rPr>
          <w:rFonts w:hint="eastAsia" w:ascii="楷体_GB2312" w:hAnsi="宋体" w:eastAsia="楷体_GB2312" w:cs="Times New Roman"/>
          <w:color w:val="auto"/>
          <w:sz w:val="32"/>
          <w:szCs w:val="32"/>
          <w:highlight w:val="none"/>
        </w:rPr>
      </w:pPr>
      <w:r>
        <w:rPr>
          <w:rFonts w:hint="eastAsia" w:ascii="楷体_GB2312" w:hAnsi="宋体" w:eastAsia="楷体_GB2312" w:cs="Times New Roman"/>
          <w:color w:val="auto"/>
          <w:sz w:val="32"/>
          <w:szCs w:val="32"/>
          <w:highlight w:val="none"/>
        </w:rPr>
        <w:t>一、培养目标</w:t>
      </w:r>
    </w:p>
    <w:p>
      <w:pPr>
        <w:spacing w:line="560" w:lineRule="exact"/>
        <w:ind w:left="0" w:firstLine="640" w:firstLineChars="200"/>
        <w:outlineLvl w:val="9"/>
        <w:rPr>
          <w:b w:val="0"/>
          <w:bCs w:val="0"/>
          <w:color w:val="auto"/>
          <w:spacing w:val="-3"/>
          <w:szCs w:val="24"/>
          <w:highlight w:val="none"/>
        </w:rPr>
      </w:pPr>
      <w:r>
        <w:rPr>
          <w:rFonts w:hint="eastAsia" w:ascii="仿宋_GB2312" w:hAnsi="宋体" w:eastAsia="仿宋_GB2312" w:cs="Times New Roman"/>
          <w:b w:val="0"/>
          <w:bCs w:val="0"/>
          <w:color w:val="auto"/>
          <w:sz w:val="32"/>
          <w:szCs w:val="32"/>
          <w:highlight w:val="none"/>
        </w:rPr>
        <w:t>为基层培养医德高尚、医术精湛、身心健康的应用型儿外科</w:t>
      </w:r>
      <w:r>
        <w:rPr>
          <w:rFonts w:hint="eastAsia" w:ascii="仿宋_GB2312" w:hAnsi="宋体" w:eastAsia="仿宋_GB2312" w:cs="Times New Roman"/>
          <w:b w:val="0"/>
          <w:bCs w:val="0"/>
          <w:color w:val="auto"/>
          <w:sz w:val="32"/>
          <w:szCs w:val="32"/>
          <w:highlight w:val="none"/>
          <w:lang w:val="en-US" w:eastAsia="zh-CN"/>
        </w:rPr>
        <w:t>学</w:t>
      </w:r>
      <w:r>
        <w:rPr>
          <w:rFonts w:hint="eastAsia" w:ascii="仿宋_GB2312" w:hAnsi="宋体" w:eastAsia="仿宋_GB2312" w:cs="Times New Roman"/>
          <w:b w:val="0"/>
          <w:bCs w:val="0"/>
          <w:color w:val="auto"/>
          <w:sz w:val="32"/>
          <w:szCs w:val="32"/>
          <w:highlight w:val="none"/>
        </w:rPr>
        <w:t>专业高级人才</w:t>
      </w:r>
      <w:r>
        <w:rPr>
          <w:rFonts w:hint="eastAsia" w:ascii="仿宋_GB2312" w:hAnsi="宋体" w:eastAsia="仿宋_GB2312" w:cs="Times New Roman"/>
          <w:b w:val="0"/>
          <w:bCs w:val="0"/>
          <w:color w:val="auto"/>
          <w:highlight w:val="none"/>
        </w:rPr>
        <w:t>。</w:t>
      </w:r>
    </w:p>
    <w:p>
      <w:pPr>
        <w:spacing w:line="560" w:lineRule="exact"/>
        <w:ind w:left="0" w:firstLine="640" w:firstLineChars="200"/>
        <w:rPr>
          <w:rFonts w:hint="eastAsia" w:ascii="楷体_GB2312" w:hAnsi="宋体" w:eastAsia="楷体_GB2312" w:cs="Times New Roman"/>
          <w:color w:val="auto"/>
          <w:sz w:val="32"/>
          <w:szCs w:val="32"/>
          <w:highlight w:val="none"/>
        </w:rPr>
      </w:pPr>
      <w:r>
        <w:rPr>
          <w:rFonts w:hint="eastAsia" w:ascii="楷体_GB2312" w:hAnsi="宋体" w:eastAsia="楷体_GB2312" w:cs="Times New Roman"/>
          <w:color w:val="auto"/>
          <w:sz w:val="32"/>
          <w:szCs w:val="32"/>
          <w:highlight w:val="none"/>
        </w:rPr>
        <w:t>二、总体要求</w:t>
      </w:r>
    </w:p>
    <w:p>
      <w:pPr>
        <w:adjustRightInd w:val="0"/>
        <w:snapToGrid w:val="0"/>
        <w:spacing w:line="560" w:lineRule="exact"/>
        <w:ind w:left="0" w:firstLine="640" w:firstLineChars="200"/>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1.培养热爱医疗卫生事业，具有良好职业道德、人文素养和专业素质的临床儿外科医师。</w:t>
      </w:r>
    </w:p>
    <w:p>
      <w:pPr>
        <w:adjustRightInd w:val="0"/>
        <w:snapToGrid w:val="0"/>
        <w:spacing w:line="560" w:lineRule="exact"/>
        <w:ind w:left="0" w:firstLine="640" w:firstLineChars="200"/>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2.掌握坚实的医学基础理论、基本知识和基本技能，具备较强临床分析和实践能力，以及良好的表达能力与医患沟通能力。能独立、规范地承担本专业的常见病、多发病的诊治工作。</w:t>
      </w:r>
    </w:p>
    <w:p>
      <w:pPr>
        <w:adjustRightInd w:val="0"/>
        <w:snapToGrid w:val="0"/>
        <w:spacing w:line="560" w:lineRule="exact"/>
        <w:ind w:left="0" w:firstLine="640" w:firstLineChars="200"/>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3.掌握临床科学研究的基本方法，并有一定的临床研究能力和临床教学能力，以第一作者（济宁医学院为第一作者单位）在公开发行的学术期刊上发表与本专业相关的论文1篇及以上，能结合临床实际完成1篇学位论文并通过答辩。</w:t>
      </w:r>
    </w:p>
    <w:p>
      <w:pPr>
        <w:adjustRightInd w:val="0"/>
        <w:snapToGrid w:val="0"/>
        <w:spacing w:line="560" w:lineRule="exact"/>
        <w:ind w:left="0" w:firstLine="640" w:firstLineChars="200"/>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4.具有较熟练阅读本专业外文资料的能力和较好的外语交流能力。</w:t>
      </w:r>
    </w:p>
    <w:p>
      <w:pPr>
        <w:adjustRightInd w:val="0"/>
        <w:snapToGrid w:val="0"/>
        <w:spacing w:line="560" w:lineRule="exact"/>
        <w:ind w:left="0" w:firstLine="640" w:firstLineChars="200"/>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5.取得硕士研究生毕业证书、硕士专业学位证书、医师资格证书和住院医师规范化培训合格证书。</w:t>
      </w:r>
    </w:p>
    <w:p>
      <w:pPr>
        <w:adjustRightInd w:val="0"/>
        <w:snapToGrid w:val="0"/>
        <w:spacing w:line="560" w:lineRule="exact"/>
        <w:ind w:firstLine="640" w:firstLineChars="200"/>
        <w:rPr>
          <w:rFonts w:hint="eastAsia" w:ascii="黑体" w:hAnsi="宋体" w:eastAsia="黑体" w:cs="Times New Roman"/>
          <w:bCs/>
          <w:color w:val="auto"/>
          <w:kern w:val="2"/>
          <w:sz w:val="32"/>
          <w:szCs w:val="32"/>
          <w:highlight w:val="none"/>
          <w:lang w:val="en-US" w:eastAsia="zh-CN" w:bidi="ar-SA"/>
        </w:rPr>
      </w:pPr>
      <w:r>
        <w:rPr>
          <w:rFonts w:hint="eastAsia" w:ascii="黑体" w:hAnsi="宋体" w:eastAsia="黑体" w:cs="Times New Roman"/>
          <w:bCs/>
          <w:color w:val="auto"/>
          <w:kern w:val="2"/>
          <w:sz w:val="32"/>
          <w:szCs w:val="32"/>
          <w:highlight w:val="none"/>
          <w:lang w:val="en-US" w:eastAsia="zh-CN" w:bidi="ar-SA"/>
        </w:rPr>
        <w:t>第二条 招生对象与入学方式</w:t>
      </w:r>
    </w:p>
    <w:p>
      <w:pPr>
        <w:spacing w:line="560" w:lineRule="exact"/>
        <w:ind w:firstLine="640" w:firstLineChars="200"/>
        <w:rPr>
          <w:rFonts w:hint="eastAsia" w:ascii="楷体_GB2312" w:hAnsi="宋体" w:eastAsia="楷体_GB2312"/>
          <w:color w:val="auto"/>
          <w:sz w:val="32"/>
          <w:szCs w:val="32"/>
          <w:highlight w:val="none"/>
        </w:rPr>
      </w:pPr>
      <w:r>
        <w:rPr>
          <w:rFonts w:hint="eastAsia" w:ascii="楷体_GB2312" w:hAnsi="宋体" w:eastAsia="楷体_GB2312" w:cs="Times New Roman"/>
          <w:b w:val="0"/>
          <w:bCs w:val="0"/>
          <w:color w:val="auto"/>
          <w:kern w:val="2"/>
          <w:sz w:val="32"/>
          <w:szCs w:val="32"/>
          <w:highlight w:val="none"/>
          <w:lang w:val="en-US" w:eastAsia="zh-CN" w:bidi="ar-SA"/>
        </w:rPr>
        <w:t>一、招生对象</w:t>
      </w:r>
    </w:p>
    <w:p>
      <w:pPr>
        <w:adjustRightInd w:val="0"/>
        <w:snapToGrid w:val="0"/>
        <w:spacing w:line="56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s="Times New Roman"/>
          <w:b w:val="0"/>
          <w:bCs w:val="0"/>
          <w:color w:val="auto"/>
          <w:kern w:val="2"/>
          <w:sz w:val="32"/>
          <w:szCs w:val="32"/>
          <w:highlight w:val="none"/>
          <w:lang w:val="en-US" w:eastAsia="zh-CN" w:bidi="ar-SA"/>
        </w:rPr>
        <w:t>符合医师资格考试报考条件规定专业的应届或往届本科毕业生。对于已经获得住院医师规范化培训合格证书人员原则上不得报考儿外科学硕士专业学位研究生。</w:t>
      </w:r>
    </w:p>
    <w:p>
      <w:pPr>
        <w:spacing w:line="560" w:lineRule="exact"/>
        <w:ind w:firstLine="640" w:firstLineChars="200"/>
        <w:rPr>
          <w:rFonts w:hint="eastAsia" w:ascii="楷体_GB2312" w:hAnsi="宋体" w:eastAsia="楷体_GB2312" w:cs="Times New Roman"/>
          <w:b w:val="0"/>
          <w:bCs w:val="0"/>
          <w:color w:val="auto"/>
          <w:kern w:val="2"/>
          <w:sz w:val="32"/>
          <w:szCs w:val="32"/>
          <w:highlight w:val="none"/>
          <w:lang w:val="en-US" w:eastAsia="zh-CN" w:bidi="ar-SA"/>
        </w:rPr>
      </w:pPr>
      <w:r>
        <w:rPr>
          <w:rFonts w:hint="eastAsia" w:ascii="楷体_GB2312" w:hAnsi="宋体" w:eastAsia="楷体_GB2312" w:cs="Times New Roman"/>
          <w:b w:val="0"/>
          <w:bCs w:val="0"/>
          <w:color w:val="auto"/>
          <w:kern w:val="2"/>
          <w:sz w:val="32"/>
          <w:szCs w:val="32"/>
          <w:highlight w:val="none"/>
          <w:lang w:val="en-US" w:eastAsia="zh-CN" w:bidi="ar-SA"/>
        </w:rPr>
        <w:t>二、入学方式</w:t>
      </w:r>
    </w:p>
    <w:p>
      <w:pPr>
        <w:adjustRightInd w:val="0"/>
        <w:snapToGrid w:val="0"/>
        <w:spacing w:line="560" w:lineRule="exact"/>
        <w:ind w:firstLine="640" w:firstLineChars="200"/>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b w:val="0"/>
          <w:bCs w:val="0"/>
          <w:color w:val="auto"/>
          <w:kern w:val="2"/>
          <w:sz w:val="32"/>
          <w:szCs w:val="32"/>
          <w:highlight w:val="none"/>
          <w:lang w:val="en-US" w:eastAsia="zh-CN" w:bidi="ar-SA"/>
        </w:rPr>
        <w:t>参加全国硕士研究生入学统一考试，初试成绩达到我校硕士研究生复试要求，或获得全国硕士研究生推荐免试资格，我校同意接收复试的，方可进入复试环节。</w:t>
      </w:r>
    </w:p>
    <w:p>
      <w:pPr>
        <w:adjustRightInd w:val="0"/>
        <w:snapToGrid w:val="0"/>
        <w:spacing w:line="560" w:lineRule="exact"/>
        <w:ind w:firstLine="640" w:firstLineChars="200"/>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b w:val="0"/>
          <w:bCs w:val="0"/>
          <w:color w:val="auto"/>
          <w:kern w:val="2"/>
          <w:sz w:val="32"/>
          <w:szCs w:val="32"/>
          <w:highlight w:val="none"/>
          <w:lang w:val="en-US" w:eastAsia="zh-CN" w:bidi="ar-SA"/>
        </w:rPr>
        <w:t>复试由学校、临床医学院和各培养基地共同组织实施。复试环节重点考核学生的综合素质、专业能力和专业基础知识。</w:t>
      </w:r>
    </w:p>
    <w:p>
      <w:pPr>
        <w:adjustRightInd w:val="0"/>
        <w:snapToGrid w:val="0"/>
        <w:spacing w:line="560" w:lineRule="exact"/>
        <w:ind w:firstLine="640" w:firstLineChars="200"/>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b w:val="0"/>
          <w:bCs w:val="0"/>
          <w:color w:val="auto"/>
          <w:kern w:val="2"/>
          <w:sz w:val="32"/>
          <w:szCs w:val="32"/>
          <w:highlight w:val="none"/>
          <w:lang w:val="en-US" w:eastAsia="zh-CN" w:bidi="ar-SA"/>
        </w:rPr>
        <w:t>通过各项考核最终被录取的考生，在获得儿外科学硕士专业学位研究生录取资格的同时，获得参加儿外科学规培基地的住院医师规范化培训的资格。</w:t>
      </w:r>
    </w:p>
    <w:p>
      <w:pPr>
        <w:adjustRightInd w:val="0"/>
        <w:snapToGrid w:val="0"/>
        <w:spacing w:line="560" w:lineRule="exact"/>
        <w:ind w:left="0" w:leftChars="0" w:firstLine="640" w:firstLineChars="200"/>
        <w:jc w:val="both"/>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第</w:t>
      </w:r>
      <w:r>
        <w:rPr>
          <w:rFonts w:hint="eastAsia" w:ascii="黑体" w:hAnsi="宋体" w:eastAsia="黑体"/>
          <w:bCs/>
          <w:color w:val="auto"/>
          <w:sz w:val="32"/>
          <w:szCs w:val="32"/>
          <w:highlight w:val="none"/>
          <w:lang w:val="en-US" w:eastAsia="zh-CN"/>
        </w:rPr>
        <w:t>三</w:t>
      </w:r>
      <w:r>
        <w:rPr>
          <w:rFonts w:hint="eastAsia" w:ascii="黑体" w:hAnsi="宋体" w:eastAsia="黑体"/>
          <w:bCs/>
          <w:color w:val="auto"/>
          <w:sz w:val="32"/>
          <w:szCs w:val="32"/>
          <w:highlight w:val="none"/>
        </w:rPr>
        <w:t>条 学习年限与培养原则</w:t>
      </w:r>
    </w:p>
    <w:p>
      <w:pPr>
        <w:spacing w:line="560" w:lineRule="exact"/>
        <w:ind w:left="0" w:firstLine="640" w:firstLineChars="200"/>
        <w:rPr>
          <w:rFonts w:hint="eastAsia" w:ascii="楷体_GB2312" w:hAnsi="宋体" w:eastAsia="楷体_GB2312" w:cs="Times New Roman"/>
          <w:color w:val="auto"/>
          <w:sz w:val="32"/>
          <w:szCs w:val="32"/>
          <w:highlight w:val="none"/>
          <w:lang w:eastAsia="zh-CN"/>
        </w:rPr>
      </w:pPr>
      <w:r>
        <w:rPr>
          <w:rFonts w:hint="eastAsia" w:ascii="楷体_GB2312" w:hAnsi="宋体" w:eastAsia="楷体_GB2312" w:cs="Times New Roman"/>
          <w:color w:val="auto"/>
          <w:sz w:val="32"/>
          <w:szCs w:val="32"/>
          <w:highlight w:val="none"/>
        </w:rPr>
        <w:t>一、</w:t>
      </w:r>
      <w:r>
        <w:rPr>
          <w:rFonts w:hint="eastAsia" w:ascii="楷体_GB2312" w:hAnsi="宋体" w:eastAsia="楷体_GB2312" w:cs="Times New Roman"/>
          <w:color w:val="auto"/>
          <w:sz w:val="32"/>
          <w:szCs w:val="32"/>
          <w:highlight w:val="none"/>
          <w:lang w:val="en-US" w:eastAsia="zh-CN"/>
        </w:rPr>
        <w:t>学习年限</w:t>
      </w:r>
    </w:p>
    <w:p>
      <w:pPr>
        <w:pStyle w:val="8"/>
        <w:adjustRightInd w:val="0"/>
        <w:snapToGrid w:val="0"/>
        <w:spacing w:line="560" w:lineRule="exact"/>
        <w:ind w:left="0" w:firstLine="640" w:firstLineChars="200"/>
        <w:jc w:val="both"/>
        <w:rPr>
          <w:rFonts w:hint="eastAsia" w:ascii="仿宋_GB2312" w:hAnsi="Courier New" w:eastAsia="仿宋_GB2312" w:cs="Times New Roman"/>
          <w:b w:val="0"/>
          <w:bCs w:val="0"/>
          <w:color w:val="auto"/>
          <w:sz w:val="32"/>
          <w:szCs w:val="32"/>
          <w:highlight w:val="none"/>
        </w:rPr>
      </w:pPr>
      <w:r>
        <w:rPr>
          <w:rFonts w:hint="eastAsia" w:ascii="仿宋_GB2312" w:hAnsi="Courier New" w:eastAsia="仿宋_GB2312" w:cs="Times New Roman"/>
          <w:b w:val="0"/>
          <w:bCs w:val="0"/>
          <w:color w:val="auto"/>
          <w:sz w:val="32"/>
          <w:szCs w:val="32"/>
          <w:highlight w:val="none"/>
        </w:rPr>
        <w:t>基本学习年限为3年，在规定时间内未达到培养要求者</w:t>
      </w:r>
      <w:r>
        <w:rPr>
          <w:rFonts w:hint="eastAsia" w:ascii="仿宋_GB2312" w:hAnsi="Courier New" w:eastAsia="仿宋_GB2312" w:cs="Times New Roman"/>
          <w:b w:val="0"/>
          <w:bCs w:val="0"/>
          <w:color w:val="auto"/>
          <w:sz w:val="32"/>
          <w:szCs w:val="32"/>
          <w:highlight w:val="none"/>
          <w:lang w:val="en-US" w:eastAsia="zh-CN"/>
        </w:rPr>
        <w:t>可以</w:t>
      </w:r>
      <w:r>
        <w:rPr>
          <w:rFonts w:hint="eastAsia" w:ascii="仿宋_GB2312" w:hAnsi="Courier New" w:eastAsia="仿宋_GB2312" w:cs="Times New Roman"/>
          <w:b w:val="0"/>
          <w:bCs w:val="0"/>
          <w:color w:val="auto"/>
          <w:sz w:val="32"/>
          <w:szCs w:val="32"/>
          <w:highlight w:val="none"/>
        </w:rPr>
        <w:t>延长学习年限，但最长不超过4年（同等学力人员最长不超过6年）。</w:t>
      </w:r>
    </w:p>
    <w:p>
      <w:pPr>
        <w:spacing w:line="560" w:lineRule="exact"/>
        <w:ind w:left="0" w:firstLine="640" w:firstLineChars="200"/>
        <w:rPr>
          <w:rFonts w:hint="eastAsia" w:ascii="楷体_GB2312" w:hAnsi="宋体" w:eastAsia="楷体_GB2312" w:cs="Times New Roman"/>
          <w:color w:val="auto"/>
          <w:sz w:val="32"/>
          <w:szCs w:val="32"/>
          <w:highlight w:val="none"/>
        </w:rPr>
      </w:pPr>
      <w:r>
        <w:rPr>
          <w:rFonts w:hint="eastAsia" w:ascii="楷体_GB2312" w:hAnsi="宋体" w:eastAsia="楷体_GB2312" w:cs="Times New Roman"/>
          <w:color w:val="auto"/>
          <w:sz w:val="32"/>
          <w:szCs w:val="32"/>
          <w:highlight w:val="none"/>
        </w:rPr>
        <w:t>二、培养原则</w:t>
      </w:r>
    </w:p>
    <w:p>
      <w:pPr>
        <w:pStyle w:val="8"/>
        <w:adjustRightInd w:val="0"/>
        <w:snapToGrid w:val="0"/>
        <w:spacing w:line="560" w:lineRule="exact"/>
        <w:ind w:left="0" w:firstLine="640" w:firstLineChars="200"/>
        <w:jc w:val="both"/>
        <w:rPr>
          <w:rFonts w:ascii="仿宋_GB2312" w:hAnsi="Courier New" w:eastAsia="仿宋_GB2312" w:cs="Times New Roman"/>
          <w:b w:val="0"/>
          <w:bCs w:val="0"/>
          <w:color w:val="auto"/>
          <w:sz w:val="32"/>
          <w:szCs w:val="32"/>
          <w:highlight w:val="none"/>
        </w:rPr>
      </w:pPr>
      <w:r>
        <w:rPr>
          <w:rFonts w:hint="default" w:ascii="仿宋_GB2312" w:hAnsi="Courier New" w:eastAsia="仿宋_GB2312" w:cs="Times New Roman"/>
          <w:b w:val="0"/>
          <w:bCs w:val="0"/>
          <w:color w:val="auto"/>
          <w:sz w:val="32"/>
          <w:szCs w:val="32"/>
          <w:highlight w:val="none"/>
        </w:rPr>
        <w:t>培养采用理论学习、临床轮转与导师指导相结合的方式，以临床轮转为主。培养过程按照住院医师规范化培训内容与标准进行，同时</w:t>
      </w:r>
      <w:r>
        <w:rPr>
          <w:rFonts w:hint="default" w:ascii="仿宋_GB2312" w:hAnsi="Courier New" w:eastAsia="仿宋_GB2312" w:cs="Times New Roman"/>
          <w:b w:val="0"/>
          <w:bCs w:val="0"/>
          <w:color w:val="auto"/>
          <w:sz w:val="32"/>
          <w:szCs w:val="32"/>
          <w:highlight w:val="none"/>
          <w:lang w:val="en-US" w:eastAsia="zh-CN"/>
        </w:rPr>
        <w:t>重视</w:t>
      </w:r>
      <w:r>
        <w:rPr>
          <w:rFonts w:hint="default" w:ascii="仿宋_GB2312" w:hAnsi="Courier New" w:eastAsia="仿宋_GB2312" w:cs="Times New Roman"/>
          <w:b w:val="0"/>
          <w:bCs w:val="0"/>
          <w:color w:val="auto"/>
          <w:sz w:val="32"/>
          <w:szCs w:val="32"/>
          <w:highlight w:val="none"/>
        </w:rPr>
        <w:t>学位课程学习</w:t>
      </w:r>
      <w:r>
        <w:rPr>
          <w:rFonts w:hint="default" w:ascii="仿宋_GB2312" w:hAnsi="Courier New" w:eastAsia="仿宋_GB2312" w:cs="Times New Roman"/>
          <w:b w:val="0"/>
          <w:bCs w:val="0"/>
          <w:color w:val="auto"/>
          <w:sz w:val="32"/>
          <w:szCs w:val="32"/>
          <w:highlight w:val="none"/>
          <w:lang w:eastAsia="zh-CN"/>
        </w:rPr>
        <w:t>、</w:t>
      </w:r>
      <w:r>
        <w:rPr>
          <w:rFonts w:hint="default" w:ascii="仿宋_GB2312" w:hAnsi="Courier New" w:eastAsia="仿宋_GB2312" w:cs="Times New Roman"/>
          <w:b w:val="0"/>
          <w:bCs w:val="0"/>
          <w:color w:val="auto"/>
          <w:sz w:val="32"/>
          <w:szCs w:val="32"/>
          <w:highlight w:val="none"/>
        </w:rPr>
        <w:t>临床研究能力和教学能力的全面培养。</w:t>
      </w:r>
    </w:p>
    <w:p>
      <w:pPr>
        <w:spacing w:line="560" w:lineRule="exact"/>
        <w:ind w:left="0" w:firstLine="640" w:firstLineChars="200"/>
        <w:rPr>
          <w:rFonts w:hint="eastAsia" w:ascii="楷体_GB2312" w:hAnsi="宋体" w:eastAsia="楷体_GB2312" w:cs="Times New Roman"/>
          <w:color w:val="auto"/>
          <w:sz w:val="32"/>
          <w:szCs w:val="32"/>
          <w:highlight w:val="none"/>
        </w:rPr>
      </w:pPr>
      <w:r>
        <w:rPr>
          <w:rFonts w:hint="eastAsia" w:ascii="楷体_GB2312" w:hAnsi="宋体" w:eastAsia="楷体_GB2312" w:cs="Times New Roman"/>
          <w:color w:val="auto"/>
          <w:sz w:val="32"/>
          <w:szCs w:val="32"/>
          <w:highlight w:val="none"/>
        </w:rPr>
        <w:t>三、时间安排</w:t>
      </w:r>
    </w:p>
    <w:p>
      <w:pPr>
        <w:autoSpaceDE w:val="0"/>
        <w:autoSpaceDN w:val="0"/>
        <w:adjustRightInd w:val="0"/>
        <w:snapToGrid w:val="0"/>
        <w:spacing w:line="560" w:lineRule="exact"/>
        <w:ind w:left="0" w:firstLine="640" w:firstLineChars="200"/>
        <w:rPr>
          <w:rFonts w:hint="eastAsia" w:ascii="仿宋_GB2312" w:hAnsi="Courier New" w:eastAsia="仿宋_GB2312" w:cs="Times New Roman"/>
          <w:b w:val="0"/>
          <w:bCs w:val="0"/>
          <w:color w:val="auto"/>
          <w:kern w:val="0"/>
          <w:sz w:val="32"/>
          <w:szCs w:val="32"/>
          <w:highlight w:val="none"/>
        </w:rPr>
      </w:pPr>
      <w:r>
        <w:rPr>
          <w:rFonts w:hint="eastAsia" w:ascii="仿宋_GB2312" w:hAnsi="Courier New" w:eastAsia="仿宋_GB2312" w:cs="Times New Roman"/>
          <w:b w:val="0"/>
          <w:bCs w:val="0"/>
          <w:color w:val="auto"/>
          <w:kern w:val="0"/>
          <w:sz w:val="32"/>
          <w:szCs w:val="32"/>
          <w:highlight w:val="none"/>
        </w:rPr>
        <w:t>第一阶段：每年7月上旬报到，在学校学习公共课和专业基础课，学习时间为7周。</w:t>
      </w:r>
    </w:p>
    <w:p>
      <w:pPr>
        <w:autoSpaceDE w:val="0"/>
        <w:autoSpaceDN w:val="0"/>
        <w:adjustRightInd w:val="0"/>
        <w:snapToGrid w:val="0"/>
        <w:spacing w:line="560" w:lineRule="exact"/>
        <w:ind w:firstLine="640" w:firstLineChars="200"/>
        <w:rPr>
          <w:rFonts w:hint="eastAsia" w:ascii="仿宋_GB2312" w:hAnsi="Courier New" w:eastAsia="仿宋_GB2312" w:cs="Times New Roman"/>
          <w:b w:val="0"/>
          <w:bCs w:val="0"/>
          <w:color w:val="auto"/>
          <w:kern w:val="0"/>
          <w:sz w:val="32"/>
          <w:szCs w:val="32"/>
          <w:highlight w:val="none"/>
        </w:rPr>
      </w:pPr>
      <w:r>
        <w:rPr>
          <w:rFonts w:hint="eastAsia" w:ascii="仿宋_GB2312" w:hAnsi="Courier New" w:eastAsia="仿宋_GB2312" w:cs="Times New Roman"/>
          <w:b w:val="0"/>
          <w:bCs w:val="0"/>
          <w:color w:val="auto"/>
          <w:kern w:val="0"/>
          <w:sz w:val="32"/>
          <w:szCs w:val="32"/>
          <w:highlight w:val="none"/>
          <w:lang w:val="en-US" w:eastAsia="zh-CN" w:bidi="ar-SA"/>
        </w:rPr>
        <w:t>第二阶段：课程集中学习和考试结束后进入各培养基地进行住院医师规范化培训，总培训时间不少于 33 个月。在规培期间，须同时进行专业理论课程学习和临床科研能力训练，通过国家执业医师资格考试，完成学位论文及答辩等相关工作。</w:t>
      </w:r>
    </w:p>
    <w:p>
      <w:pPr>
        <w:adjustRightInd w:val="0"/>
        <w:snapToGrid w:val="0"/>
        <w:spacing w:line="560" w:lineRule="exact"/>
        <w:ind w:left="0" w:firstLine="640" w:firstLineChars="200"/>
        <w:jc w:val="both"/>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第</w:t>
      </w:r>
      <w:r>
        <w:rPr>
          <w:rFonts w:hint="eastAsia" w:ascii="黑体" w:hAnsi="宋体" w:eastAsia="黑体"/>
          <w:bCs/>
          <w:color w:val="auto"/>
          <w:sz w:val="32"/>
          <w:szCs w:val="32"/>
          <w:highlight w:val="none"/>
          <w:lang w:val="en-US" w:eastAsia="zh-CN"/>
        </w:rPr>
        <w:t>四</w:t>
      </w:r>
      <w:r>
        <w:rPr>
          <w:rFonts w:hint="eastAsia" w:ascii="黑体" w:hAnsi="宋体" w:eastAsia="黑体"/>
          <w:bCs/>
          <w:color w:val="auto"/>
          <w:sz w:val="32"/>
          <w:szCs w:val="32"/>
          <w:highlight w:val="none"/>
        </w:rPr>
        <w:t>条 课程学习与考核</w:t>
      </w:r>
    </w:p>
    <w:p>
      <w:pPr>
        <w:spacing w:line="560" w:lineRule="exact"/>
        <w:ind w:left="0" w:firstLine="640" w:firstLineChars="200"/>
        <w:rPr>
          <w:rFonts w:hint="eastAsia" w:ascii="楷体_GB2312" w:hAnsi="宋体" w:eastAsia="楷体_GB2312" w:cs="Times New Roman"/>
          <w:color w:val="auto"/>
          <w:sz w:val="32"/>
          <w:szCs w:val="32"/>
          <w:highlight w:val="none"/>
        </w:rPr>
      </w:pPr>
      <w:r>
        <w:rPr>
          <w:rFonts w:hint="eastAsia" w:ascii="楷体_GB2312" w:hAnsi="宋体" w:eastAsia="楷体_GB2312" w:cs="Times New Roman"/>
          <w:color w:val="auto"/>
          <w:sz w:val="32"/>
          <w:szCs w:val="32"/>
          <w:highlight w:val="none"/>
        </w:rPr>
        <w:t>一、 课程设置与学分要求</w:t>
      </w:r>
    </w:p>
    <w:p>
      <w:pPr>
        <w:widowControl/>
        <w:spacing w:line="560" w:lineRule="exact"/>
        <w:ind w:firstLine="640" w:firstLineChars="200"/>
        <w:jc w:val="both"/>
        <w:rPr>
          <w:rFonts w:ascii="仿宋_GB2312" w:hAnsi="宋体" w:eastAsia="仿宋_GB2312"/>
          <w:color w:val="auto"/>
          <w:sz w:val="28"/>
          <w:szCs w:val="28"/>
          <w:highlight w:val="none"/>
        </w:rPr>
      </w:pPr>
      <w:r>
        <w:rPr>
          <w:rFonts w:hint="eastAsia" w:ascii="仿宋_GB2312" w:hAnsi="Courier New" w:eastAsia="仿宋_GB2312" w:cs="Times New Roman"/>
          <w:b w:val="0"/>
          <w:bCs w:val="0"/>
          <w:color w:val="auto"/>
          <w:kern w:val="0"/>
          <w:sz w:val="32"/>
          <w:szCs w:val="32"/>
          <w:highlight w:val="none"/>
          <w:lang w:val="en-US" w:eastAsia="zh-CN" w:bidi="ar-SA"/>
        </w:rPr>
        <w:t>研究生课程包括公共学位课、公共选修课、专业基础课、专业课和专业选修课。培养过程实行学分制，要求总学分不少于42学分（含公共学位课15学分、公共选修课3学分、专业基础课4学分、专业选修课4学分、专业课4学分、临床能力训练8学分及必修环节4学分）。</w:t>
      </w:r>
      <w:r>
        <w:rPr>
          <w:rFonts w:ascii="仿宋_GB2312" w:hAnsi="宋体" w:eastAsia="仿宋_GB2312"/>
          <w:b/>
          <w:bCs/>
          <w:color w:val="auto"/>
          <w:highlight w:val="none"/>
        </w:rPr>
        <w:br w:type="page"/>
      </w:r>
    </w:p>
    <w:p>
      <w:pPr>
        <w:widowControl/>
        <w:jc w:val="center"/>
        <w:rPr>
          <w:rFonts w:hint="eastAsia" w:ascii="方正小标宋简体" w:hAnsi="宋体" w:eastAsia="方正小标宋简体" w:cs="宋体"/>
          <w:b w:val="0"/>
          <w:bCs w:val="0"/>
          <w:color w:val="auto"/>
          <w:kern w:val="0"/>
          <w:sz w:val="24"/>
          <w:szCs w:val="24"/>
          <w:highlight w:val="none"/>
          <w:lang w:val="en-US" w:eastAsia="zh-CN" w:bidi="ar-SA"/>
        </w:rPr>
      </w:pPr>
      <w:r>
        <w:rPr>
          <w:rFonts w:hint="eastAsia" w:ascii="方正小标宋简体" w:hAnsi="宋体" w:eastAsia="方正小标宋简体" w:cs="宋体"/>
          <w:b w:val="0"/>
          <w:bCs w:val="0"/>
          <w:color w:val="auto"/>
          <w:kern w:val="0"/>
          <w:sz w:val="24"/>
          <w:szCs w:val="24"/>
          <w:highlight w:val="none"/>
          <w:lang w:val="en-US" w:eastAsia="zh-CN" w:bidi="ar-SA"/>
        </w:rPr>
        <w:t>全日制儿外科学硕士专业学位课程设置及学分要求</w:t>
      </w:r>
    </w:p>
    <w:tbl>
      <w:tblPr>
        <w:tblStyle w:val="10"/>
        <w:tblW w:w="4998"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306"/>
        <w:gridCol w:w="2247"/>
        <w:gridCol w:w="793"/>
        <w:gridCol w:w="726"/>
        <w:gridCol w:w="760"/>
        <w:gridCol w:w="1751"/>
        <w:gridCol w:w="7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Align w:val="center"/>
          </w:tcPr>
          <w:p>
            <w:pPr>
              <w:pStyle w:val="14"/>
              <w:spacing w:before="136"/>
              <w:ind w:left="254"/>
              <w:jc w:val="left"/>
              <w:rPr>
                <w:rFonts w:ascii="黑体" w:eastAsia="黑体"/>
                <w:b/>
                <w:color w:val="auto"/>
                <w:highlight w:val="none"/>
              </w:rPr>
            </w:pPr>
            <w:r>
              <w:rPr>
                <w:rFonts w:hint="eastAsia" w:ascii="黑体" w:eastAsia="黑体"/>
                <w:b/>
                <w:color w:val="auto"/>
                <w:highlight w:val="none"/>
              </w:rPr>
              <w:t>课程类别</w:t>
            </w:r>
          </w:p>
        </w:tc>
        <w:tc>
          <w:tcPr>
            <w:tcW w:w="1349" w:type="pct"/>
            <w:vAlign w:val="center"/>
          </w:tcPr>
          <w:p>
            <w:pPr>
              <w:pStyle w:val="14"/>
              <w:spacing w:before="136"/>
              <w:ind w:left="640"/>
              <w:jc w:val="left"/>
              <w:rPr>
                <w:rFonts w:ascii="黑体" w:eastAsia="黑体"/>
                <w:b/>
                <w:color w:val="auto"/>
                <w:highlight w:val="none"/>
              </w:rPr>
            </w:pPr>
            <w:r>
              <w:rPr>
                <w:rFonts w:hint="eastAsia" w:ascii="黑体" w:eastAsia="黑体"/>
                <w:b/>
                <w:color w:val="auto"/>
                <w:highlight w:val="none"/>
              </w:rPr>
              <w:t>课程名称</w:t>
            </w:r>
          </w:p>
        </w:tc>
        <w:tc>
          <w:tcPr>
            <w:tcW w:w="476" w:type="pct"/>
            <w:vAlign w:val="center"/>
          </w:tcPr>
          <w:p>
            <w:pPr>
              <w:pStyle w:val="14"/>
              <w:spacing w:before="136"/>
              <w:ind w:left="114" w:right="94"/>
              <w:rPr>
                <w:rFonts w:ascii="黑体" w:eastAsia="黑体"/>
                <w:b/>
                <w:color w:val="auto"/>
                <w:highlight w:val="none"/>
              </w:rPr>
            </w:pPr>
            <w:r>
              <w:rPr>
                <w:rFonts w:hint="eastAsia" w:ascii="黑体" w:eastAsia="黑体"/>
                <w:b/>
                <w:color w:val="auto"/>
                <w:highlight w:val="none"/>
              </w:rPr>
              <w:t>学分</w:t>
            </w:r>
          </w:p>
        </w:tc>
        <w:tc>
          <w:tcPr>
            <w:tcW w:w="436" w:type="pct"/>
            <w:vAlign w:val="center"/>
          </w:tcPr>
          <w:p>
            <w:pPr>
              <w:pStyle w:val="14"/>
              <w:spacing w:before="136"/>
              <w:ind w:left="98" w:right="79"/>
              <w:rPr>
                <w:rFonts w:ascii="黑体" w:eastAsia="黑体"/>
                <w:b/>
                <w:color w:val="auto"/>
                <w:highlight w:val="none"/>
              </w:rPr>
            </w:pPr>
            <w:r>
              <w:rPr>
                <w:rFonts w:hint="eastAsia" w:ascii="黑体" w:eastAsia="黑体"/>
                <w:b/>
                <w:color w:val="auto"/>
                <w:highlight w:val="none"/>
              </w:rPr>
              <w:t>学时</w:t>
            </w:r>
          </w:p>
        </w:tc>
        <w:tc>
          <w:tcPr>
            <w:tcW w:w="456" w:type="pct"/>
            <w:vAlign w:val="center"/>
          </w:tcPr>
          <w:p>
            <w:pPr>
              <w:pStyle w:val="14"/>
              <w:spacing w:before="1"/>
              <w:ind w:left="119"/>
              <w:jc w:val="left"/>
              <w:rPr>
                <w:rFonts w:ascii="黑体" w:eastAsia="黑体"/>
                <w:b/>
                <w:color w:val="auto"/>
                <w:highlight w:val="none"/>
              </w:rPr>
            </w:pPr>
            <w:r>
              <w:rPr>
                <w:rFonts w:hint="eastAsia" w:ascii="黑体" w:eastAsia="黑体"/>
                <w:b/>
                <w:color w:val="auto"/>
                <w:w w:val="95"/>
                <w:highlight w:val="none"/>
              </w:rPr>
              <w:t>开课</w:t>
            </w:r>
          </w:p>
          <w:p>
            <w:pPr>
              <w:pStyle w:val="14"/>
              <w:spacing w:before="3" w:line="252" w:lineRule="exact"/>
              <w:ind w:left="119"/>
              <w:jc w:val="left"/>
              <w:rPr>
                <w:rFonts w:ascii="黑体" w:eastAsia="黑体"/>
                <w:b/>
                <w:color w:val="auto"/>
                <w:highlight w:val="none"/>
              </w:rPr>
            </w:pPr>
            <w:r>
              <w:rPr>
                <w:rFonts w:hint="eastAsia" w:ascii="黑体" w:eastAsia="黑体"/>
                <w:b/>
                <w:color w:val="auto"/>
                <w:w w:val="95"/>
                <w:highlight w:val="none"/>
              </w:rPr>
              <w:t>学期</w:t>
            </w:r>
          </w:p>
        </w:tc>
        <w:tc>
          <w:tcPr>
            <w:tcW w:w="1051" w:type="pct"/>
            <w:vAlign w:val="center"/>
          </w:tcPr>
          <w:p>
            <w:pPr>
              <w:pStyle w:val="14"/>
              <w:spacing w:before="136"/>
              <w:ind w:right="254"/>
              <w:jc w:val="right"/>
              <w:rPr>
                <w:rFonts w:ascii="黑体" w:eastAsia="黑体"/>
                <w:b/>
                <w:color w:val="auto"/>
                <w:highlight w:val="none"/>
              </w:rPr>
            </w:pPr>
            <w:r>
              <w:rPr>
                <w:rFonts w:hint="eastAsia" w:ascii="黑体" w:eastAsia="黑体"/>
                <w:b/>
                <w:color w:val="auto"/>
                <w:highlight w:val="none"/>
              </w:rPr>
              <w:t>开课单位</w:t>
            </w:r>
          </w:p>
        </w:tc>
        <w:tc>
          <w:tcPr>
            <w:tcW w:w="444" w:type="pct"/>
            <w:vAlign w:val="center"/>
          </w:tcPr>
          <w:p>
            <w:pPr>
              <w:pStyle w:val="14"/>
              <w:spacing w:before="136"/>
              <w:ind w:left="128"/>
              <w:jc w:val="left"/>
              <w:rPr>
                <w:rFonts w:ascii="黑体" w:eastAsia="黑体"/>
                <w:b/>
                <w:color w:val="auto"/>
                <w:highlight w:val="none"/>
              </w:rPr>
            </w:pPr>
            <w:r>
              <w:rPr>
                <w:rFonts w:hint="eastAsia" w:ascii="黑体" w:eastAsia="黑体"/>
                <w:b/>
                <w:color w:val="auto"/>
                <w:highlight w:val="none"/>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restart"/>
            <w:vAlign w:val="center"/>
          </w:tcPr>
          <w:p>
            <w:pPr>
              <w:pStyle w:val="14"/>
              <w:spacing w:before="0"/>
              <w:jc w:val="left"/>
              <w:rPr>
                <w:rFonts w:ascii="仿宋_GB2312" w:hAnsi="仿宋_GB2312" w:eastAsia="仿宋_GB2312" w:cs="仿宋_GB2312"/>
                <w:color w:val="auto"/>
                <w:sz w:val="20"/>
                <w:highlight w:val="none"/>
              </w:rPr>
            </w:pPr>
          </w:p>
          <w:p>
            <w:pPr>
              <w:pStyle w:val="14"/>
              <w:spacing w:before="0"/>
              <w:jc w:val="left"/>
              <w:rPr>
                <w:rFonts w:ascii="仿宋_GB2312" w:hAnsi="仿宋_GB2312" w:eastAsia="仿宋_GB2312" w:cs="仿宋_GB2312"/>
                <w:color w:val="auto"/>
                <w:sz w:val="20"/>
                <w:highlight w:val="none"/>
              </w:rPr>
            </w:pPr>
          </w:p>
          <w:p>
            <w:pPr>
              <w:pStyle w:val="14"/>
              <w:spacing w:before="0"/>
              <w:jc w:val="left"/>
              <w:rPr>
                <w:rFonts w:ascii="仿宋_GB2312" w:hAnsi="仿宋_GB2312" w:eastAsia="仿宋_GB2312" w:cs="仿宋_GB2312"/>
                <w:color w:val="auto"/>
                <w:sz w:val="20"/>
                <w:highlight w:val="none"/>
              </w:rPr>
            </w:pPr>
          </w:p>
          <w:p>
            <w:pPr>
              <w:pStyle w:val="14"/>
              <w:spacing w:before="0"/>
              <w:jc w:val="left"/>
              <w:rPr>
                <w:rFonts w:ascii="仿宋_GB2312" w:hAnsi="仿宋_GB2312" w:eastAsia="仿宋_GB2312" w:cs="仿宋_GB2312"/>
                <w:color w:val="auto"/>
                <w:sz w:val="20"/>
                <w:highlight w:val="none"/>
              </w:rPr>
            </w:pPr>
          </w:p>
          <w:p>
            <w:pPr>
              <w:pStyle w:val="14"/>
              <w:spacing w:before="10"/>
              <w:jc w:val="left"/>
              <w:rPr>
                <w:rFonts w:ascii="仿宋_GB2312" w:hAnsi="仿宋_GB2312" w:eastAsia="仿宋_GB2312" w:cs="仿宋_GB2312"/>
                <w:color w:val="auto"/>
                <w:sz w:val="20"/>
                <w:highlight w:val="none"/>
              </w:rPr>
            </w:pPr>
          </w:p>
          <w:p>
            <w:pPr>
              <w:pStyle w:val="14"/>
              <w:spacing w:before="0"/>
              <w:ind w:left="148"/>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w w:val="95"/>
                <w:highlight w:val="none"/>
              </w:rPr>
              <w:t>公共学位课</w:t>
            </w:r>
          </w:p>
          <w:p>
            <w:pPr>
              <w:pStyle w:val="14"/>
              <w:spacing w:before="3"/>
              <w:ind w:left="121"/>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spacing w:val="-19"/>
                <w:highlight w:val="none"/>
              </w:rPr>
              <w:t xml:space="preserve"> 学分</w:t>
            </w:r>
            <w:r>
              <w:rPr>
                <w:rFonts w:hint="eastAsia" w:ascii="仿宋_GB2312" w:hAnsi="仿宋_GB2312" w:eastAsia="仿宋_GB2312" w:cs="仿宋_GB2312"/>
                <w:color w:val="auto"/>
                <w:highlight w:val="none"/>
              </w:rPr>
              <w:t>）</w:t>
            </w:r>
          </w:p>
        </w:tc>
        <w:tc>
          <w:tcPr>
            <w:tcW w:w="1349" w:type="pct"/>
            <w:vAlign w:val="center"/>
          </w:tcPr>
          <w:p>
            <w:pPr>
              <w:pStyle w:val="14"/>
              <w:spacing w:before="0"/>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1.中国特色社会主义</w:t>
            </w:r>
          </w:p>
          <w:p>
            <w:pPr>
              <w:pStyle w:val="14"/>
              <w:spacing w:before="3" w:line="253" w:lineRule="exact"/>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理论与实践</w:t>
            </w:r>
          </w:p>
        </w:tc>
        <w:tc>
          <w:tcPr>
            <w:tcW w:w="476" w:type="pct"/>
            <w:vAlign w:val="center"/>
          </w:tcPr>
          <w:p>
            <w:pPr>
              <w:pStyle w:val="14"/>
              <w:spacing w:before="135"/>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2</w:t>
            </w:r>
          </w:p>
        </w:tc>
        <w:tc>
          <w:tcPr>
            <w:tcW w:w="436" w:type="pct"/>
            <w:vAlign w:val="center"/>
          </w:tcPr>
          <w:p>
            <w:pPr>
              <w:pStyle w:val="14"/>
              <w:spacing w:before="135"/>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32</w:t>
            </w:r>
          </w:p>
        </w:tc>
        <w:tc>
          <w:tcPr>
            <w:tcW w:w="456" w:type="pct"/>
            <w:vAlign w:val="center"/>
          </w:tcPr>
          <w:p>
            <w:pPr>
              <w:pStyle w:val="14"/>
              <w:spacing w:before="135"/>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Align w:val="center"/>
          </w:tcPr>
          <w:p>
            <w:pPr>
              <w:pStyle w:val="14"/>
              <w:spacing w:before="0"/>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马克思主义</w:t>
            </w:r>
          </w:p>
          <w:p>
            <w:pPr>
              <w:pStyle w:val="14"/>
              <w:spacing w:before="3" w:line="253" w:lineRule="exact"/>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学院</w:t>
            </w:r>
          </w:p>
        </w:tc>
        <w:tc>
          <w:tcPr>
            <w:tcW w:w="444" w:type="pct"/>
            <w:vMerge w:val="restart"/>
            <w:vAlign w:val="center"/>
          </w:tcPr>
          <w:p>
            <w:pPr>
              <w:pStyle w:val="14"/>
              <w:spacing w:before="0"/>
              <w:jc w:val="left"/>
              <w:rPr>
                <w:rFonts w:ascii="仿宋_GB2312" w:hAnsi="仿宋_GB2312" w:eastAsia="仿宋_GB2312" w:cs="仿宋_GB2312"/>
                <w:color w:val="auto"/>
                <w:sz w:val="20"/>
                <w:highlight w:val="none"/>
              </w:rPr>
            </w:pPr>
          </w:p>
          <w:p>
            <w:pPr>
              <w:pStyle w:val="14"/>
              <w:spacing w:before="0"/>
              <w:jc w:val="left"/>
              <w:rPr>
                <w:rFonts w:ascii="仿宋_GB2312" w:hAnsi="仿宋_GB2312" w:eastAsia="仿宋_GB2312" w:cs="仿宋_GB2312"/>
                <w:color w:val="auto"/>
                <w:sz w:val="20"/>
                <w:highlight w:val="none"/>
              </w:rPr>
            </w:pPr>
          </w:p>
          <w:p>
            <w:pPr>
              <w:pStyle w:val="14"/>
              <w:spacing w:before="0"/>
              <w:jc w:val="left"/>
              <w:rPr>
                <w:rFonts w:ascii="仿宋_GB2312" w:hAnsi="仿宋_GB2312" w:eastAsia="仿宋_GB2312" w:cs="仿宋_GB2312"/>
                <w:color w:val="auto"/>
                <w:sz w:val="20"/>
                <w:highlight w:val="none"/>
              </w:rPr>
            </w:pPr>
          </w:p>
          <w:p>
            <w:pPr>
              <w:pStyle w:val="14"/>
              <w:spacing w:before="6"/>
              <w:jc w:val="left"/>
              <w:rPr>
                <w:rFonts w:ascii="仿宋_GB2312" w:hAnsi="仿宋_GB2312" w:eastAsia="仿宋_GB2312" w:cs="仿宋_GB2312"/>
                <w:color w:val="auto"/>
                <w:sz w:val="19"/>
                <w:highlight w:val="none"/>
              </w:rPr>
            </w:pPr>
          </w:p>
          <w:p>
            <w:pPr>
              <w:pStyle w:val="14"/>
              <w:spacing w:before="0" w:line="242" w:lineRule="auto"/>
              <w:ind w:left="107" w:right="134"/>
              <w:jc w:val="both"/>
              <w:rPr>
                <w:rFonts w:ascii="仿宋_GB2312" w:hAnsi="仿宋_GB2312" w:eastAsia="仿宋_GB2312" w:cs="仿宋_GB2312"/>
                <w:color w:val="auto"/>
                <w:highlight w:val="none"/>
              </w:rPr>
            </w:pPr>
          </w:p>
          <w:p>
            <w:pPr>
              <w:pStyle w:val="14"/>
              <w:spacing w:before="0" w:line="242" w:lineRule="auto"/>
              <w:ind w:left="107" w:right="134"/>
              <w:jc w:val="both"/>
              <w:rPr>
                <w:rFonts w:ascii="仿宋_GB2312" w:hAnsi="仿宋_GB2312" w:eastAsia="仿宋_GB2312" w:cs="仿宋_GB2312"/>
                <w:color w:val="auto"/>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3" w:hRule="atLeast"/>
          <w:jc w:val="center"/>
        </w:trPr>
        <w:tc>
          <w:tcPr>
            <w:tcW w:w="784" w:type="pct"/>
            <w:vMerge w:val="continue"/>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134"/>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2.自然辩证法</w:t>
            </w:r>
          </w:p>
        </w:tc>
        <w:tc>
          <w:tcPr>
            <w:tcW w:w="476" w:type="pct"/>
            <w:vAlign w:val="center"/>
          </w:tcPr>
          <w:p>
            <w:pPr>
              <w:pStyle w:val="14"/>
              <w:spacing w:before="134"/>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436" w:type="pct"/>
            <w:vAlign w:val="center"/>
          </w:tcPr>
          <w:p>
            <w:pPr>
              <w:pStyle w:val="14"/>
              <w:spacing w:before="134"/>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16</w:t>
            </w:r>
          </w:p>
        </w:tc>
        <w:tc>
          <w:tcPr>
            <w:tcW w:w="456" w:type="pct"/>
            <w:vAlign w:val="center"/>
          </w:tcPr>
          <w:p>
            <w:pPr>
              <w:pStyle w:val="14"/>
              <w:spacing w:before="134"/>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Align w:val="center"/>
          </w:tcPr>
          <w:p>
            <w:pPr>
              <w:pStyle w:val="14"/>
              <w:spacing w:before="0"/>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马克思主义</w:t>
            </w:r>
          </w:p>
          <w:p>
            <w:pPr>
              <w:pStyle w:val="14"/>
              <w:spacing w:before="4" w:line="251" w:lineRule="exact"/>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学院</w:t>
            </w:r>
          </w:p>
        </w:tc>
        <w:tc>
          <w:tcPr>
            <w:tcW w:w="444" w:type="pct"/>
            <w:vMerge w:val="continue"/>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7" w:hRule="atLeast"/>
          <w:jc w:val="center"/>
        </w:trPr>
        <w:tc>
          <w:tcPr>
            <w:tcW w:w="784" w:type="pct"/>
            <w:vMerge w:val="continue"/>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19" w:line="268" w:lineRule="exact"/>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3.公共英语</w:t>
            </w:r>
          </w:p>
        </w:tc>
        <w:tc>
          <w:tcPr>
            <w:tcW w:w="476" w:type="pct"/>
            <w:vAlign w:val="center"/>
          </w:tcPr>
          <w:p>
            <w:pPr>
              <w:pStyle w:val="14"/>
              <w:spacing w:before="19" w:line="268" w:lineRule="exact"/>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3</w:t>
            </w:r>
          </w:p>
        </w:tc>
        <w:tc>
          <w:tcPr>
            <w:tcW w:w="436" w:type="pct"/>
            <w:vAlign w:val="center"/>
          </w:tcPr>
          <w:p>
            <w:pPr>
              <w:pStyle w:val="14"/>
              <w:spacing w:before="19" w:line="268" w:lineRule="exact"/>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48</w:t>
            </w:r>
          </w:p>
        </w:tc>
        <w:tc>
          <w:tcPr>
            <w:tcW w:w="456" w:type="pct"/>
            <w:vAlign w:val="center"/>
          </w:tcPr>
          <w:p>
            <w:pPr>
              <w:pStyle w:val="14"/>
              <w:spacing w:before="19" w:line="268" w:lineRule="exact"/>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Align w:val="center"/>
          </w:tcPr>
          <w:p>
            <w:pPr>
              <w:pStyle w:val="14"/>
              <w:spacing w:before="19" w:line="268" w:lineRule="exact"/>
              <w:ind w:right="221"/>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外国语学院</w:t>
            </w:r>
          </w:p>
        </w:tc>
        <w:tc>
          <w:tcPr>
            <w:tcW w:w="444" w:type="pct"/>
            <w:vMerge w:val="continue"/>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continue"/>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136"/>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4.医学统计学</w:t>
            </w:r>
          </w:p>
        </w:tc>
        <w:tc>
          <w:tcPr>
            <w:tcW w:w="476" w:type="pct"/>
            <w:vAlign w:val="center"/>
          </w:tcPr>
          <w:p>
            <w:pPr>
              <w:pStyle w:val="14"/>
              <w:spacing w:before="136"/>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3</w:t>
            </w:r>
          </w:p>
        </w:tc>
        <w:tc>
          <w:tcPr>
            <w:tcW w:w="436" w:type="pct"/>
            <w:vAlign w:val="center"/>
          </w:tcPr>
          <w:p>
            <w:pPr>
              <w:pStyle w:val="14"/>
              <w:spacing w:before="136"/>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48</w:t>
            </w:r>
          </w:p>
        </w:tc>
        <w:tc>
          <w:tcPr>
            <w:tcW w:w="456" w:type="pct"/>
            <w:vAlign w:val="center"/>
          </w:tcPr>
          <w:p>
            <w:pPr>
              <w:pStyle w:val="14"/>
              <w:spacing w:before="136"/>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Align w:val="center"/>
          </w:tcPr>
          <w:p>
            <w:pPr>
              <w:pStyle w:val="14"/>
              <w:spacing w:before="1"/>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公共卫生学</w:t>
            </w:r>
          </w:p>
          <w:p>
            <w:pPr>
              <w:pStyle w:val="14"/>
              <w:spacing w:before="2" w:line="252" w:lineRule="exact"/>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院</w:t>
            </w:r>
          </w:p>
        </w:tc>
        <w:tc>
          <w:tcPr>
            <w:tcW w:w="444" w:type="pct"/>
            <w:vMerge w:val="continue"/>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continue"/>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0"/>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5.临床流行病学与循</w:t>
            </w:r>
          </w:p>
          <w:p>
            <w:pPr>
              <w:pStyle w:val="14"/>
              <w:spacing w:before="2" w:line="253" w:lineRule="exact"/>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证医学</w:t>
            </w:r>
          </w:p>
        </w:tc>
        <w:tc>
          <w:tcPr>
            <w:tcW w:w="476" w:type="pct"/>
            <w:vAlign w:val="center"/>
          </w:tcPr>
          <w:p>
            <w:pPr>
              <w:pStyle w:val="14"/>
              <w:spacing w:before="135"/>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3</w:t>
            </w:r>
          </w:p>
        </w:tc>
        <w:tc>
          <w:tcPr>
            <w:tcW w:w="436" w:type="pct"/>
            <w:vAlign w:val="center"/>
          </w:tcPr>
          <w:p>
            <w:pPr>
              <w:pStyle w:val="14"/>
              <w:spacing w:before="135"/>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48</w:t>
            </w:r>
          </w:p>
        </w:tc>
        <w:tc>
          <w:tcPr>
            <w:tcW w:w="456" w:type="pct"/>
            <w:vAlign w:val="center"/>
          </w:tcPr>
          <w:p>
            <w:pPr>
              <w:pStyle w:val="14"/>
              <w:spacing w:before="135"/>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Align w:val="center"/>
          </w:tcPr>
          <w:p>
            <w:pPr>
              <w:pStyle w:val="14"/>
              <w:spacing w:before="0"/>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公共卫生学</w:t>
            </w:r>
          </w:p>
          <w:p>
            <w:pPr>
              <w:pStyle w:val="14"/>
              <w:spacing w:before="2" w:line="253" w:lineRule="exact"/>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院</w:t>
            </w:r>
          </w:p>
        </w:tc>
        <w:tc>
          <w:tcPr>
            <w:tcW w:w="444" w:type="pct"/>
            <w:vMerge w:val="continue"/>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8" w:hRule="atLeast"/>
          <w:jc w:val="center"/>
        </w:trPr>
        <w:tc>
          <w:tcPr>
            <w:tcW w:w="784" w:type="pct"/>
            <w:vMerge w:val="continue"/>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136"/>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6.医学文献检索</w:t>
            </w:r>
          </w:p>
        </w:tc>
        <w:tc>
          <w:tcPr>
            <w:tcW w:w="476" w:type="pct"/>
            <w:vAlign w:val="center"/>
          </w:tcPr>
          <w:p>
            <w:pPr>
              <w:pStyle w:val="14"/>
              <w:spacing w:before="136"/>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2</w:t>
            </w:r>
          </w:p>
        </w:tc>
        <w:tc>
          <w:tcPr>
            <w:tcW w:w="436" w:type="pct"/>
            <w:vAlign w:val="center"/>
          </w:tcPr>
          <w:p>
            <w:pPr>
              <w:pStyle w:val="14"/>
              <w:spacing w:before="136"/>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32</w:t>
            </w:r>
          </w:p>
        </w:tc>
        <w:tc>
          <w:tcPr>
            <w:tcW w:w="456" w:type="pct"/>
            <w:vAlign w:val="center"/>
          </w:tcPr>
          <w:p>
            <w:pPr>
              <w:pStyle w:val="14"/>
              <w:spacing w:before="136"/>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Align w:val="center"/>
          </w:tcPr>
          <w:p>
            <w:pPr>
              <w:pStyle w:val="14"/>
              <w:spacing w:before="0" w:line="269" w:lineRule="exact"/>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医学信息工</w:t>
            </w:r>
          </w:p>
          <w:p>
            <w:pPr>
              <w:pStyle w:val="14"/>
              <w:spacing w:before="4" w:line="251" w:lineRule="exact"/>
              <w:ind w:left="107"/>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程学院</w:t>
            </w:r>
          </w:p>
        </w:tc>
        <w:tc>
          <w:tcPr>
            <w:tcW w:w="444" w:type="pct"/>
            <w:vMerge w:val="continue"/>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continue"/>
            <w:vAlign w:val="center"/>
          </w:tcPr>
          <w:p>
            <w:pPr>
              <w:pStyle w:val="14"/>
              <w:spacing w:before="4"/>
              <w:ind w:left="174"/>
              <w:jc w:val="left"/>
              <w:rPr>
                <w:rFonts w:hint="eastAsia" w:ascii="仿宋_GB2312" w:hAnsi="仿宋_GB2312" w:eastAsia="仿宋_GB2312" w:cs="仿宋_GB2312"/>
                <w:color w:val="auto"/>
                <w:highlight w:val="none"/>
                <w:lang w:val="en-US" w:eastAsia="zh-CN"/>
              </w:rPr>
            </w:pPr>
          </w:p>
        </w:tc>
        <w:tc>
          <w:tcPr>
            <w:tcW w:w="1349" w:type="pct"/>
            <w:vAlign w:val="center"/>
          </w:tcPr>
          <w:p>
            <w:pPr>
              <w:pStyle w:val="14"/>
              <w:spacing w:before="1" w:line="270" w:lineRule="atLeast"/>
              <w:ind w:left="107" w:right="101"/>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7.学位论文写作与学术规范</w:t>
            </w:r>
          </w:p>
        </w:tc>
        <w:tc>
          <w:tcPr>
            <w:tcW w:w="476" w:type="pct"/>
            <w:vAlign w:val="center"/>
          </w:tcPr>
          <w:p>
            <w:pPr>
              <w:pStyle w:val="14"/>
              <w:spacing w:before="136"/>
              <w:ind w:left="17"/>
              <w:rPr>
                <w:rFonts w:hint="eastAsia"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436" w:type="pct"/>
            <w:vAlign w:val="center"/>
          </w:tcPr>
          <w:p>
            <w:pPr>
              <w:pStyle w:val="14"/>
              <w:spacing w:before="136"/>
              <w:ind w:left="98" w:right="78"/>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16</w:t>
            </w:r>
          </w:p>
        </w:tc>
        <w:tc>
          <w:tcPr>
            <w:tcW w:w="456" w:type="pct"/>
            <w:vAlign w:val="center"/>
          </w:tcPr>
          <w:p>
            <w:pPr>
              <w:pStyle w:val="14"/>
              <w:spacing w:before="136"/>
              <w:ind w:left="16"/>
              <w:rPr>
                <w:rFonts w:hint="eastAsia"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1051" w:type="pct"/>
            <w:vAlign w:val="center"/>
          </w:tcPr>
          <w:p>
            <w:pPr>
              <w:pStyle w:val="14"/>
              <w:spacing w:before="131"/>
              <w:ind w:left="107"/>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科研处</w:t>
            </w:r>
          </w:p>
        </w:tc>
        <w:tc>
          <w:tcPr>
            <w:tcW w:w="444" w:type="pct"/>
            <w:vMerge w:val="continue"/>
            <w:vAlign w:val="center"/>
          </w:tcPr>
          <w:p>
            <w:pPr>
              <w:pStyle w:val="14"/>
              <w:spacing w:before="0"/>
              <w:rPr>
                <w:rFonts w:ascii="仿宋_GB2312" w:hAnsi="仿宋_GB2312" w:eastAsia="仿宋_GB2312" w:cs="仿宋_GB2312"/>
                <w:color w:val="auto"/>
                <w:sz w:val="2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restart"/>
            <w:vAlign w:val="center"/>
          </w:tcPr>
          <w:p>
            <w:pPr>
              <w:pStyle w:val="14"/>
              <w:spacing w:before="4"/>
              <w:ind w:left="174"/>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公共选修课（3学分）</w:t>
            </w:r>
          </w:p>
        </w:tc>
        <w:tc>
          <w:tcPr>
            <w:tcW w:w="1349" w:type="pct"/>
            <w:vAlign w:val="center"/>
          </w:tcPr>
          <w:p>
            <w:pPr>
              <w:pStyle w:val="14"/>
              <w:spacing w:before="1" w:line="270" w:lineRule="atLeast"/>
              <w:ind w:left="107" w:right="101"/>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8.体育</w:t>
            </w:r>
          </w:p>
        </w:tc>
        <w:tc>
          <w:tcPr>
            <w:tcW w:w="476" w:type="pct"/>
            <w:vAlign w:val="center"/>
          </w:tcPr>
          <w:p>
            <w:pPr>
              <w:pStyle w:val="14"/>
              <w:spacing w:before="136"/>
              <w:ind w:left="17"/>
              <w:rPr>
                <w:rFonts w:hint="eastAsia"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436" w:type="pct"/>
            <w:vAlign w:val="center"/>
          </w:tcPr>
          <w:p>
            <w:pPr>
              <w:pStyle w:val="14"/>
              <w:spacing w:before="136"/>
              <w:ind w:left="98" w:right="78"/>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16</w:t>
            </w:r>
          </w:p>
        </w:tc>
        <w:tc>
          <w:tcPr>
            <w:tcW w:w="456" w:type="pct"/>
            <w:vAlign w:val="center"/>
          </w:tcPr>
          <w:p>
            <w:pPr>
              <w:pStyle w:val="14"/>
              <w:spacing w:before="136"/>
              <w:ind w:left="16"/>
              <w:rPr>
                <w:rFonts w:hint="eastAsia"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1051" w:type="pct"/>
            <w:vAlign w:val="center"/>
          </w:tcPr>
          <w:p>
            <w:pPr>
              <w:pStyle w:val="14"/>
              <w:spacing w:before="131"/>
              <w:ind w:left="107"/>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基础医学院</w:t>
            </w:r>
          </w:p>
        </w:tc>
        <w:tc>
          <w:tcPr>
            <w:tcW w:w="444" w:type="pct"/>
            <w:vMerge w:val="restart"/>
            <w:vAlign w:val="center"/>
          </w:tcPr>
          <w:p>
            <w:pPr>
              <w:pStyle w:val="14"/>
              <w:spacing w:before="0"/>
              <w:rPr>
                <w:rFonts w:ascii="仿宋_GB2312" w:hAnsi="仿宋_GB2312" w:eastAsia="仿宋_GB2312" w:cs="仿宋_GB2312"/>
                <w:color w:val="auto"/>
                <w:sz w:val="2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continue"/>
            <w:vAlign w:val="center"/>
          </w:tcPr>
          <w:p>
            <w:pPr>
              <w:pStyle w:val="14"/>
              <w:spacing w:before="4"/>
              <w:ind w:left="174"/>
              <w:jc w:val="left"/>
              <w:rPr>
                <w:rFonts w:hint="eastAsia" w:ascii="仿宋_GB2312" w:hAnsi="仿宋_GB2312" w:eastAsia="仿宋_GB2312" w:cs="仿宋_GB2312"/>
                <w:color w:val="auto"/>
                <w:highlight w:val="none"/>
              </w:rPr>
            </w:pPr>
          </w:p>
        </w:tc>
        <w:tc>
          <w:tcPr>
            <w:tcW w:w="1349" w:type="pct"/>
            <w:vAlign w:val="center"/>
          </w:tcPr>
          <w:p>
            <w:pPr>
              <w:pStyle w:val="14"/>
              <w:spacing w:before="1" w:line="270" w:lineRule="atLeast"/>
              <w:ind w:left="107" w:right="101"/>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9.美育</w:t>
            </w:r>
          </w:p>
        </w:tc>
        <w:tc>
          <w:tcPr>
            <w:tcW w:w="476" w:type="pct"/>
            <w:vAlign w:val="center"/>
          </w:tcPr>
          <w:p>
            <w:pPr>
              <w:pStyle w:val="14"/>
              <w:spacing w:before="136"/>
              <w:ind w:left="17"/>
              <w:rPr>
                <w:rFonts w:hint="eastAsia"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436" w:type="pct"/>
            <w:vAlign w:val="center"/>
          </w:tcPr>
          <w:p>
            <w:pPr>
              <w:pStyle w:val="14"/>
              <w:spacing w:before="136"/>
              <w:ind w:left="98" w:right="78"/>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16</w:t>
            </w:r>
          </w:p>
        </w:tc>
        <w:tc>
          <w:tcPr>
            <w:tcW w:w="456" w:type="pct"/>
            <w:vAlign w:val="center"/>
          </w:tcPr>
          <w:p>
            <w:pPr>
              <w:pStyle w:val="14"/>
              <w:spacing w:before="136"/>
              <w:ind w:left="16"/>
              <w:rPr>
                <w:rFonts w:hint="eastAsia"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1051" w:type="pct"/>
            <w:vAlign w:val="center"/>
          </w:tcPr>
          <w:p>
            <w:pPr>
              <w:pStyle w:val="14"/>
              <w:spacing w:before="131"/>
              <w:ind w:left="107"/>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基础医学院</w:t>
            </w:r>
          </w:p>
        </w:tc>
        <w:tc>
          <w:tcPr>
            <w:tcW w:w="444" w:type="pct"/>
            <w:vMerge w:val="continue"/>
            <w:vAlign w:val="center"/>
          </w:tcPr>
          <w:p>
            <w:pPr>
              <w:pStyle w:val="14"/>
              <w:spacing w:before="0"/>
              <w:rPr>
                <w:rFonts w:ascii="仿宋_GB2312" w:hAnsi="仿宋_GB2312" w:eastAsia="仿宋_GB2312" w:cs="仿宋_GB2312"/>
                <w:color w:val="auto"/>
                <w:sz w:val="2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continue"/>
            <w:vAlign w:val="center"/>
          </w:tcPr>
          <w:p>
            <w:pPr>
              <w:pStyle w:val="14"/>
              <w:spacing w:before="4"/>
              <w:ind w:left="174"/>
              <w:jc w:val="left"/>
              <w:rPr>
                <w:rFonts w:hint="eastAsia" w:ascii="仿宋_GB2312" w:hAnsi="仿宋_GB2312" w:eastAsia="仿宋_GB2312" w:cs="仿宋_GB2312"/>
                <w:color w:val="auto"/>
                <w:highlight w:val="none"/>
              </w:rPr>
            </w:pPr>
          </w:p>
        </w:tc>
        <w:tc>
          <w:tcPr>
            <w:tcW w:w="1349" w:type="pct"/>
            <w:vAlign w:val="center"/>
          </w:tcPr>
          <w:p>
            <w:pPr>
              <w:pStyle w:val="14"/>
              <w:spacing w:before="1" w:line="270" w:lineRule="atLeast"/>
              <w:ind w:left="107" w:right="101"/>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10.劳动教育</w:t>
            </w:r>
          </w:p>
        </w:tc>
        <w:tc>
          <w:tcPr>
            <w:tcW w:w="476" w:type="pct"/>
            <w:vAlign w:val="center"/>
          </w:tcPr>
          <w:p>
            <w:pPr>
              <w:pStyle w:val="14"/>
              <w:spacing w:before="136"/>
              <w:ind w:left="17"/>
              <w:rPr>
                <w:rFonts w:hint="eastAsia"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436" w:type="pct"/>
            <w:vAlign w:val="center"/>
          </w:tcPr>
          <w:p>
            <w:pPr>
              <w:pStyle w:val="14"/>
              <w:spacing w:before="136"/>
              <w:ind w:left="98" w:right="78"/>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16</w:t>
            </w:r>
          </w:p>
        </w:tc>
        <w:tc>
          <w:tcPr>
            <w:tcW w:w="456" w:type="pct"/>
            <w:vAlign w:val="center"/>
          </w:tcPr>
          <w:p>
            <w:pPr>
              <w:pStyle w:val="14"/>
              <w:spacing w:before="136"/>
              <w:ind w:left="16"/>
              <w:rPr>
                <w:rFonts w:hint="default"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1051" w:type="pct"/>
            <w:vAlign w:val="center"/>
          </w:tcPr>
          <w:p>
            <w:pPr>
              <w:pStyle w:val="14"/>
              <w:spacing w:before="131"/>
              <w:ind w:left="107"/>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团委</w:t>
            </w:r>
          </w:p>
        </w:tc>
        <w:tc>
          <w:tcPr>
            <w:tcW w:w="444" w:type="pct"/>
            <w:vMerge w:val="continue"/>
            <w:vAlign w:val="center"/>
          </w:tcPr>
          <w:p>
            <w:pPr>
              <w:pStyle w:val="14"/>
              <w:spacing w:before="0"/>
              <w:rPr>
                <w:rFonts w:ascii="仿宋_GB2312" w:hAnsi="仿宋_GB2312" w:eastAsia="仿宋_GB2312" w:cs="仿宋_GB2312"/>
                <w:color w:val="auto"/>
                <w:sz w:val="2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restart"/>
            <w:vAlign w:val="center"/>
          </w:tcPr>
          <w:p>
            <w:pPr>
              <w:pStyle w:val="14"/>
              <w:spacing w:before="0"/>
              <w:jc w:val="left"/>
              <w:rPr>
                <w:rFonts w:ascii="仿宋_GB2312" w:hAnsi="仿宋_GB2312" w:eastAsia="仿宋_GB2312" w:cs="仿宋_GB2312"/>
                <w:color w:val="auto"/>
                <w:sz w:val="20"/>
                <w:highlight w:val="none"/>
              </w:rPr>
            </w:pPr>
          </w:p>
          <w:p>
            <w:pPr>
              <w:pStyle w:val="14"/>
              <w:spacing w:before="0"/>
              <w:jc w:val="left"/>
              <w:rPr>
                <w:rFonts w:ascii="仿宋_GB2312" w:hAnsi="仿宋_GB2312" w:eastAsia="仿宋_GB2312" w:cs="仿宋_GB2312"/>
                <w:color w:val="auto"/>
                <w:sz w:val="20"/>
                <w:highlight w:val="none"/>
              </w:rPr>
            </w:pPr>
          </w:p>
          <w:p>
            <w:pPr>
              <w:pStyle w:val="14"/>
              <w:spacing w:before="6"/>
              <w:jc w:val="left"/>
              <w:rPr>
                <w:rFonts w:ascii="仿宋_GB2312" w:hAnsi="仿宋_GB2312" w:eastAsia="仿宋_GB2312" w:cs="仿宋_GB2312"/>
                <w:color w:val="auto"/>
                <w:sz w:val="19"/>
                <w:highlight w:val="none"/>
              </w:rPr>
            </w:pPr>
          </w:p>
          <w:p>
            <w:pPr>
              <w:pStyle w:val="14"/>
              <w:spacing w:before="1"/>
              <w:ind w:left="148"/>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w w:val="95"/>
                <w:highlight w:val="none"/>
              </w:rPr>
              <w:t>专业基础课</w:t>
            </w:r>
          </w:p>
          <w:p>
            <w:pPr>
              <w:pStyle w:val="14"/>
              <w:spacing w:before="4"/>
              <w:ind w:left="174"/>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w:t>
            </w:r>
            <w:r>
              <w:rPr>
                <w:rFonts w:hint="eastAsia" w:ascii="仿宋_GB2312" w:hAnsi="仿宋_GB2312" w:eastAsia="仿宋_GB2312" w:cs="仿宋_GB2312"/>
                <w:color w:val="auto"/>
                <w:spacing w:val="-19"/>
                <w:highlight w:val="none"/>
              </w:rPr>
              <w:t xml:space="preserve"> 学分</w:t>
            </w:r>
            <w:r>
              <w:rPr>
                <w:rFonts w:hint="eastAsia" w:ascii="仿宋_GB2312" w:hAnsi="仿宋_GB2312" w:eastAsia="仿宋_GB2312" w:cs="仿宋_GB2312"/>
                <w:color w:val="auto"/>
                <w:highlight w:val="none"/>
              </w:rPr>
              <w:t>）</w:t>
            </w:r>
          </w:p>
        </w:tc>
        <w:tc>
          <w:tcPr>
            <w:tcW w:w="1349" w:type="pct"/>
            <w:vAlign w:val="center"/>
          </w:tcPr>
          <w:p>
            <w:pPr>
              <w:pStyle w:val="14"/>
              <w:spacing w:before="1" w:line="270" w:lineRule="atLeast"/>
              <w:ind w:left="107" w:right="101"/>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1.临床思维与人际沟通</w:t>
            </w:r>
          </w:p>
        </w:tc>
        <w:tc>
          <w:tcPr>
            <w:tcW w:w="476" w:type="pct"/>
            <w:vAlign w:val="center"/>
          </w:tcPr>
          <w:p>
            <w:pPr>
              <w:pStyle w:val="14"/>
              <w:spacing w:before="136"/>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436" w:type="pct"/>
            <w:vAlign w:val="center"/>
          </w:tcPr>
          <w:p>
            <w:pPr>
              <w:pStyle w:val="14"/>
              <w:spacing w:before="136"/>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16</w:t>
            </w:r>
          </w:p>
        </w:tc>
        <w:tc>
          <w:tcPr>
            <w:tcW w:w="456" w:type="pct"/>
            <w:vAlign w:val="center"/>
          </w:tcPr>
          <w:p>
            <w:pPr>
              <w:pStyle w:val="14"/>
              <w:spacing w:before="136"/>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Merge w:val="restart"/>
            <w:vAlign w:val="center"/>
          </w:tcPr>
          <w:p>
            <w:pPr>
              <w:pStyle w:val="14"/>
              <w:spacing w:before="0"/>
              <w:jc w:val="center"/>
              <w:rPr>
                <w:rFonts w:ascii="仿宋_GB2312" w:hAnsi="仿宋_GB2312" w:eastAsia="仿宋_GB2312" w:cs="仿宋_GB2312"/>
                <w:color w:val="auto"/>
                <w:sz w:val="20"/>
                <w:highlight w:val="none"/>
              </w:rPr>
            </w:pPr>
          </w:p>
          <w:p>
            <w:pPr>
              <w:pStyle w:val="14"/>
              <w:spacing w:before="131"/>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临床医学院</w:t>
            </w:r>
          </w:p>
          <w:p>
            <w:pPr>
              <w:pStyle w:val="14"/>
              <w:spacing w:before="131"/>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（培养基地）</w:t>
            </w:r>
          </w:p>
        </w:tc>
        <w:tc>
          <w:tcPr>
            <w:tcW w:w="444" w:type="pct"/>
            <w:vMerge w:val="restart"/>
            <w:vAlign w:val="center"/>
          </w:tcPr>
          <w:p>
            <w:pPr>
              <w:pStyle w:val="14"/>
              <w:spacing w:before="0"/>
              <w:rPr>
                <w:rFonts w:ascii="仿宋_GB2312" w:hAnsi="仿宋_GB2312" w:eastAsia="仿宋_GB2312" w:cs="仿宋_GB2312"/>
                <w:color w:val="auto"/>
                <w:highlight w:val="none"/>
              </w:rPr>
            </w:pPr>
          </w:p>
          <w:p>
            <w:pPr>
              <w:pStyle w:val="14"/>
              <w:spacing w:before="0"/>
              <w:rPr>
                <w:rFonts w:ascii="仿宋_GB2312" w:hAnsi="仿宋_GB2312" w:eastAsia="仿宋_GB2312" w:cs="仿宋_GB2312"/>
                <w:color w:val="auto"/>
                <w:highlight w:val="none"/>
              </w:rPr>
            </w:pPr>
          </w:p>
          <w:p>
            <w:pPr>
              <w:pStyle w:val="14"/>
              <w:spacing w:before="0"/>
              <w:rPr>
                <w:rFonts w:ascii="仿宋_GB2312" w:hAnsi="仿宋_GB2312" w:eastAsia="仿宋_GB2312" w:cs="仿宋_GB2312"/>
                <w:color w:val="auto"/>
                <w:sz w:val="20"/>
                <w:highlight w:val="none"/>
              </w:rPr>
            </w:pPr>
          </w:p>
          <w:p>
            <w:pPr>
              <w:pStyle w:val="14"/>
              <w:spacing w:before="0"/>
              <w:rPr>
                <w:rFonts w:ascii="仿宋_GB2312" w:hAnsi="仿宋_GB2312" w:eastAsia="仿宋_GB2312" w:cs="仿宋_GB2312"/>
                <w:color w:val="auto"/>
                <w:sz w:val="20"/>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84" w:type="pct"/>
            <w:vMerge w:val="continue"/>
            <w:tcBorders>
              <w:top w:val="nil"/>
            </w:tcBorders>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1"/>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2.预防医学与公共卫</w:t>
            </w:r>
          </w:p>
          <w:p>
            <w:pPr>
              <w:pStyle w:val="14"/>
              <w:spacing w:before="2" w:line="253" w:lineRule="exact"/>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生</w:t>
            </w:r>
          </w:p>
        </w:tc>
        <w:tc>
          <w:tcPr>
            <w:tcW w:w="476" w:type="pct"/>
            <w:vAlign w:val="center"/>
          </w:tcPr>
          <w:p>
            <w:pPr>
              <w:pStyle w:val="14"/>
              <w:spacing w:before="135"/>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436" w:type="pct"/>
            <w:vAlign w:val="center"/>
          </w:tcPr>
          <w:p>
            <w:pPr>
              <w:pStyle w:val="14"/>
              <w:spacing w:before="135"/>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16</w:t>
            </w:r>
          </w:p>
        </w:tc>
        <w:tc>
          <w:tcPr>
            <w:tcW w:w="456" w:type="pct"/>
            <w:vAlign w:val="center"/>
          </w:tcPr>
          <w:p>
            <w:pPr>
              <w:pStyle w:val="14"/>
              <w:spacing w:before="135"/>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Merge w:val="continue"/>
            <w:tcBorders>
              <w:top w:val="nil"/>
            </w:tcBorders>
            <w:vAlign w:val="center"/>
          </w:tcPr>
          <w:p>
            <w:pPr>
              <w:jc w:val="center"/>
              <w:rPr>
                <w:rFonts w:ascii="仿宋_GB2312" w:hAnsi="仿宋_GB2312" w:eastAsia="仿宋_GB2312" w:cs="仿宋_GB2312"/>
                <w:color w:val="auto"/>
                <w:sz w:val="2"/>
                <w:szCs w:val="2"/>
                <w:highlight w:val="none"/>
              </w:rPr>
            </w:pPr>
          </w:p>
        </w:tc>
        <w:tc>
          <w:tcPr>
            <w:tcW w:w="444" w:type="pct"/>
            <w:vMerge w:val="continue"/>
            <w:tcBorders>
              <w:top w:val="nil"/>
            </w:tcBorders>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3" w:hRule="atLeast"/>
          <w:jc w:val="center"/>
        </w:trPr>
        <w:tc>
          <w:tcPr>
            <w:tcW w:w="784" w:type="pct"/>
            <w:vMerge w:val="continue"/>
            <w:tcBorders>
              <w:top w:val="nil"/>
            </w:tcBorders>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0"/>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3.重点传染病防治知</w:t>
            </w:r>
          </w:p>
          <w:p>
            <w:pPr>
              <w:pStyle w:val="14"/>
              <w:spacing w:before="2" w:line="253" w:lineRule="exact"/>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识</w:t>
            </w:r>
          </w:p>
        </w:tc>
        <w:tc>
          <w:tcPr>
            <w:tcW w:w="476" w:type="pct"/>
            <w:vAlign w:val="center"/>
          </w:tcPr>
          <w:p>
            <w:pPr>
              <w:pStyle w:val="14"/>
              <w:spacing w:before="134"/>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436" w:type="pct"/>
            <w:vAlign w:val="center"/>
          </w:tcPr>
          <w:p>
            <w:pPr>
              <w:pStyle w:val="14"/>
              <w:spacing w:before="134"/>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16</w:t>
            </w:r>
          </w:p>
        </w:tc>
        <w:tc>
          <w:tcPr>
            <w:tcW w:w="456" w:type="pct"/>
            <w:vAlign w:val="center"/>
          </w:tcPr>
          <w:p>
            <w:pPr>
              <w:pStyle w:val="14"/>
              <w:spacing w:before="134"/>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Merge w:val="continue"/>
            <w:tcBorders>
              <w:top w:val="nil"/>
            </w:tcBorders>
            <w:vAlign w:val="center"/>
          </w:tcPr>
          <w:p>
            <w:pPr>
              <w:jc w:val="center"/>
              <w:rPr>
                <w:rFonts w:ascii="仿宋_GB2312" w:hAnsi="仿宋_GB2312" w:eastAsia="仿宋_GB2312" w:cs="仿宋_GB2312"/>
                <w:color w:val="auto"/>
                <w:sz w:val="2"/>
                <w:szCs w:val="2"/>
                <w:highlight w:val="none"/>
              </w:rPr>
            </w:pPr>
          </w:p>
        </w:tc>
        <w:tc>
          <w:tcPr>
            <w:tcW w:w="444" w:type="pct"/>
            <w:vMerge w:val="continue"/>
            <w:tcBorders>
              <w:top w:val="nil"/>
            </w:tcBorders>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5" w:hRule="atLeast"/>
          <w:jc w:val="center"/>
        </w:trPr>
        <w:tc>
          <w:tcPr>
            <w:tcW w:w="784" w:type="pct"/>
            <w:vMerge w:val="continue"/>
            <w:tcBorders>
              <w:top w:val="nil"/>
            </w:tcBorders>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52"/>
              <w:ind w:left="107"/>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4.医学法律法规</w:t>
            </w:r>
          </w:p>
        </w:tc>
        <w:tc>
          <w:tcPr>
            <w:tcW w:w="476" w:type="pct"/>
            <w:vAlign w:val="center"/>
          </w:tcPr>
          <w:p>
            <w:pPr>
              <w:pStyle w:val="14"/>
              <w:spacing w:before="52"/>
              <w:ind w:left="17"/>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436" w:type="pct"/>
            <w:vAlign w:val="center"/>
          </w:tcPr>
          <w:p>
            <w:pPr>
              <w:pStyle w:val="14"/>
              <w:spacing w:before="52"/>
              <w:ind w:left="98" w:right="7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16</w:t>
            </w:r>
          </w:p>
        </w:tc>
        <w:tc>
          <w:tcPr>
            <w:tcW w:w="456" w:type="pct"/>
            <w:vAlign w:val="center"/>
          </w:tcPr>
          <w:p>
            <w:pPr>
              <w:pStyle w:val="14"/>
              <w:spacing w:before="52"/>
              <w:ind w:left="16"/>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1051" w:type="pct"/>
            <w:vMerge w:val="continue"/>
            <w:tcBorders>
              <w:top w:val="nil"/>
            </w:tcBorders>
            <w:vAlign w:val="center"/>
          </w:tcPr>
          <w:p>
            <w:pPr>
              <w:jc w:val="center"/>
              <w:rPr>
                <w:rFonts w:ascii="仿宋_GB2312" w:hAnsi="仿宋_GB2312" w:eastAsia="仿宋_GB2312" w:cs="仿宋_GB2312"/>
                <w:color w:val="auto"/>
                <w:sz w:val="2"/>
                <w:szCs w:val="2"/>
                <w:highlight w:val="none"/>
              </w:rPr>
            </w:pPr>
          </w:p>
        </w:tc>
        <w:tc>
          <w:tcPr>
            <w:tcW w:w="444" w:type="pct"/>
            <w:vMerge w:val="continue"/>
            <w:tcBorders>
              <w:top w:val="nil"/>
            </w:tcBorders>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5" w:hRule="atLeast"/>
          <w:jc w:val="center"/>
        </w:trPr>
        <w:tc>
          <w:tcPr>
            <w:tcW w:w="784" w:type="pct"/>
            <w:vMerge w:val="restart"/>
            <w:vAlign w:val="center"/>
          </w:tcPr>
          <w:p>
            <w:pPr>
              <w:pStyle w:val="14"/>
              <w:spacing w:before="0"/>
              <w:jc w:val="left"/>
              <w:rPr>
                <w:rFonts w:ascii="仿宋_GB2312" w:hAnsi="仿宋_GB2312" w:eastAsia="仿宋_GB2312" w:cs="仿宋_GB2312"/>
                <w:color w:val="auto"/>
                <w:sz w:val="20"/>
                <w:highlight w:val="none"/>
              </w:rPr>
            </w:pPr>
          </w:p>
          <w:p>
            <w:pPr>
              <w:pStyle w:val="14"/>
              <w:spacing w:before="152"/>
              <w:ind w:left="127" w:right="108"/>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专业课</w:t>
            </w:r>
          </w:p>
          <w:p>
            <w:pPr>
              <w:pStyle w:val="14"/>
              <w:spacing w:before="3"/>
              <w:ind w:left="127" w:right="111"/>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 学分）</w:t>
            </w:r>
          </w:p>
        </w:tc>
        <w:tc>
          <w:tcPr>
            <w:tcW w:w="1349" w:type="pct"/>
            <w:vAlign w:val="center"/>
          </w:tcPr>
          <w:p>
            <w:pPr>
              <w:pStyle w:val="14"/>
              <w:spacing w:before="1"/>
              <w:ind w:firstLine="105" w:firstLineChars="5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eastAsia="zh-Hans"/>
              </w:rPr>
              <w:t>小儿外科学</w:t>
            </w:r>
          </w:p>
        </w:tc>
        <w:tc>
          <w:tcPr>
            <w:tcW w:w="476" w:type="pct"/>
            <w:vAlign w:val="center"/>
          </w:tcPr>
          <w:p>
            <w:pPr>
              <w:pStyle w:val="14"/>
              <w:spacing w:before="135"/>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w:t>
            </w:r>
          </w:p>
        </w:tc>
        <w:tc>
          <w:tcPr>
            <w:tcW w:w="436" w:type="pct"/>
            <w:vAlign w:val="center"/>
          </w:tcPr>
          <w:p>
            <w:pPr>
              <w:pStyle w:val="14"/>
              <w:spacing w:before="135"/>
              <w:ind w:left="98" w:right="78"/>
              <w:rPr>
                <w:rFonts w:ascii="仿宋_GB2312" w:hAnsi="仿宋_GB2312" w:eastAsia="仿宋_GB2312" w:cs="仿宋_GB2312"/>
                <w:color w:val="auto"/>
                <w:highlight w:val="none"/>
              </w:rPr>
            </w:pPr>
            <w:r>
              <w:rPr>
                <w:rFonts w:ascii="仿宋_GB2312" w:hAnsi="仿宋_GB2312" w:eastAsia="仿宋_GB2312" w:cs="仿宋_GB2312"/>
                <w:color w:val="auto"/>
                <w:highlight w:val="none"/>
              </w:rPr>
              <w:t>48</w:t>
            </w:r>
          </w:p>
        </w:tc>
        <w:tc>
          <w:tcPr>
            <w:tcW w:w="456" w:type="pct"/>
            <w:vAlign w:val="center"/>
          </w:tcPr>
          <w:p>
            <w:pPr>
              <w:widowControl/>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3</w:t>
            </w:r>
          </w:p>
        </w:tc>
        <w:tc>
          <w:tcPr>
            <w:tcW w:w="1051" w:type="pct"/>
            <w:vMerge w:val="restart"/>
            <w:vAlign w:val="center"/>
          </w:tcPr>
          <w:p>
            <w:pPr>
              <w:pStyle w:val="14"/>
              <w:spacing w:before="0"/>
              <w:jc w:val="center"/>
              <w:rPr>
                <w:rFonts w:ascii="仿宋_GB2312" w:hAnsi="仿宋_GB2312" w:eastAsia="仿宋_GB2312" w:cs="仿宋_GB2312"/>
                <w:color w:val="auto"/>
                <w:highlight w:val="none"/>
              </w:rPr>
            </w:pPr>
          </w:p>
          <w:p>
            <w:pPr>
              <w:pStyle w:val="14"/>
              <w:spacing w:before="0"/>
              <w:ind w:firstLine="105" w:firstLineChars="50"/>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培养基地</w:t>
            </w:r>
          </w:p>
        </w:tc>
        <w:tc>
          <w:tcPr>
            <w:tcW w:w="444" w:type="pct"/>
            <w:vMerge w:val="restart"/>
            <w:vAlign w:val="center"/>
          </w:tcPr>
          <w:p>
            <w:pPr>
              <w:pStyle w:val="14"/>
              <w:widowControl/>
              <w:ind w:firstLine="105" w:firstLineChars="5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2"/>
                <w:sz w:val="21"/>
                <w:szCs w:val="24"/>
                <w:highlight w:val="none"/>
              </w:rPr>
              <w:t>开课学期各专业确定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jc w:val="center"/>
        </w:trPr>
        <w:tc>
          <w:tcPr>
            <w:tcW w:w="784" w:type="pct"/>
            <w:vMerge w:val="continue"/>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0"/>
              <w:ind w:firstLine="105" w:firstLineChars="5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2.专业外语</w:t>
            </w:r>
          </w:p>
        </w:tc>
        <w:tc>
          <w:tcPr>
            <w:tcW w:w="476" w:type="pct"/>
            <w:vAlign w:val="center"/>
          </w:tcPr>
          <w:p>
            <w:pPr>
              <w:pStyle w:val="14"/>
              <w:spacing w:before="0" w:line="36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w w:val="99"/>
                <w:highlight w:val="none"/>
              </w:rPr>
              <w:t>1</w:t>
            </w:r>
          </w:p>
        </w:tc>
        <w:tc>
          <w:tcPr>
            <w:tcW w:w="436" w:type="pct"/>
            <w:vAlign w:val="center"/>
          </w:tcPr>
          <w:p>
            <w:pPr>
              <w:pStyle w:val="14"/>
              <w:spacing w:before="0" w:line="360" w:lineRule="auto"/>
              <w:ind w:right="78"/>
              <w:rPr>
                <w:rFonts w:ascii="仿宋_GB2312" w:hAnsi="仿宋_GB2312" w:eastAsia="仿宋_GB2312" w:cs="仿宋_GB2312"/>
                <w:color w:val="auto"/>
                <w:highlight w:val="none"/>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rPr>
              <w:t>16</w:t>
            </w:r>
          </w:p>
        </w:tc>
        <w:tc>
          <w:tcPr>
            <w:tcW w:w="456" w:type="pct"/>
            <w:vAlign w:val="center"/>
          </w:tcPr>
          <w:p>
            <w:pPr>
              <w:widowControl/>
              <w:spacing w:line="360" w:lineRule="exact"/>
              <w:ind w:firstLine="315" w:firstLineChars="150"/>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3</w:t>
            </w:r>
          </w:p>
        </w:tc>
        <w:tc>
          <w:tcPr>
            <w:tcW w:w="1051" w:type="pct"/>
            <w:vMerge w:val="continue"/>
            <w:vAlign w:val="center"/>
          </w:tcPr>
          <w:p>
            <w:pPr>
              <w:jc w:val="center"/>
              <w:rPr>
                <w:rFonts w:ascii="仿宋_GB2312" w:hAnsi="仿宋_GB2312" w:eastAsia="仿宋_GB2312" w:cs="仿宋_GB2312"/>
                <w:color w:val="auto"/>
                <w:sz w:val="2"/>
                <w:szCs w:val="2"/>
                <w:highlight w:val="none"/>
              </w:rPr>
            </w:pPr>
          </w:p>
        </w:tc>
        <w:tc>
          <w:tcPr>
            <w:tcW w:w="444" w:type="pct"/>
            <w:vMerge w:val="continue"/>
            <w:vAlign w:val="center"/>
          </w:tcPr>
          <w:p>
            <w:pPr>
              <w:pStyle w:val="14"/>
              <w:ind w:firstLine="105" w:firstLineChars="50"/>
              <w:jc w:val="left"/>
              <w:rPr>
                <w:rFonts w:hint="eastAsia" w:ascii="仿宋_GB2312" w:hAnsi="仿宋_GB2312" w:eastAsia="仿宋_GB2312" w:cs="仿宋_GB2312"/>
                <w:color w:val="auto"/>
                <w:sz w:val="21"/>
                <w:szCs w:val="24"/>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0" w:hRule="atLeast"/>
          <w:jc w:val="center"/>
        </w:trPr>
        <w:tc>
          <w:tcPr>
            <w:tcW w:w="784" w:type="pct"/>
            <w:vMerge w:val="restart"/>
            <w:vAlign w:val="center"/>
          </w:tcPr>
          <w:p>
            <w:pPr>
              <w:pStyle w:val="14"/>
              <w:spacing w:before="0"/>
              <w:jc w:val="left"/>
              <w:rPr>
                <w:rFonts w:ascii="仿宋_GB2312" w:hAnsi="仿宋_GB2312" w:eastAsia="仿宋_GB2312" w:cs="仿宋_GB2312"/>
                <w:color w:val="auto"/>
                <w:sz w:val="20"/>
                <w:highlight w:val="none"/>
              </w:rPr>
            </w:pPr>
          </w:p>
          <w:p>
            <w:pPr>
              <w:pStyle w:val="14"/>
              <w:spacing w:before="1" w:line="242" w:lineRule="auto"/>
              <w:ind w:right="129" w:firstLine="105" w:firstLineChars="5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专业选修课(4 学分)</w:t>
            </w:r>
          </w:p>
        </w:tc>
        <w:tc>
          <w:tcPr>
            <w:tcW w:w="1349" w:type="pct"/>
            <w:vAlign w:val="center"/>
          </w:tcPr>
          <w:p>
            <w:pPr>
              <w:pStyle w:val="14"/>
              <w:spacing w:before="2" w:line="252" w:lineRule="exact"/>
              <w:ind w:left="107"/>
              <w:jc w:val="left"/>
              <w:rPr>
                <w:rFonts w:hint="default"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lang w:eastAsia="zh-Hans"/>
              </w:rPr>
              <w:t>1.</w:t>
            </w:r>
            <w:r>
              <w:rPr>
                <w:rFonts w:hint="eastAsia" w:ascii="仿宋_GB2312" w:hAnsi="仿宋_GB2312" w:eastAsia="仿宋_GB2312" w:cs="仿宋_GB2312"/>
                <w:color w:val="auto"/>
                <w:highlight w:val="none"/>
                <w:lang w:val="en-US" w:eastAsia="zh-CN"/>
              </w:rPr>
              <w:t>科研方法与论文写作</w:t>
            </w:r>
          </w:p>
        </w:tc>
        <w:tc>
          <w:tcPr>
            <w:tcW w:w="476" w:type="pct"/>
            <w:vAlign w:val="center"/>
          </w:tcPr>
          <w:p>
            <w:pPr>
              <w:pStyle w:val="14"/>
              <w:spacing w:before="135"/>
              <w:ind w:firstLine="315" w:firstLineChars="150"/>
              <w:jc w:val="both"/>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w:t>
            </w:r>
          </w:p>
        </w:tc>
        <w:tc>
          <w:tcPr>
            <w:tcW w:w="436" w:type="pct"/>
            <w:vAlign w:val="center"/>
          </w:tcPr>
          <w:p>
            <w:pPr>
              <w:pStyle w:val="14"/>
              <w:spacing w:before="135"/>
              <w:ind w:left="98" w:right="78"/>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32</w:t>
            </w:r>
          </w:p>
        </w:tc>
        <w:tc>
          <w:tcPr>
            <w:tcW w:w="456" w:type="pct"/>
            <w:vAlign w:val="center"/>
          </w:tcPr>
          <w:p>
            <w:pPr>
              <w:widowControl/>
              <w:ind w:firstLine="315" w:firstLineChars="150"/>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2</w:t>
            </w:r>
          </w:p>
        </w:tc>
        <w:tc>
          <w:tcPr>
            <w:tcW w:w="1051" w:type="pct"/>
            <w:vMerge w:val="restart"/>
            <w:vAlign w:val="center"/>
          </w:tcPr>
          <w:p>
            <w:pPr>
              <w:pStyle w:val="14"/>
              <w:spacing w:before="161"/>
              <w:ind w:firstLine="105" w:firstLineChars="5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培养基地</w:t>
            </w:r>
          </w:p>
        </w:tc>
        <w:tc>
          <w:tcPr>
            <w:tcW w:w="444" w:type="pct"/>
            <w:vMerge w:val="restart"/>
            <w:vAlign w:val="center"/>
          </w:tcPr>
          <w:p>
            <w:pPr>
              <w:pStyle w:val="14"/>
              <w:widowControl/>
              <w:ind w:firstLine="105" w:firstLineChars="5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2"/>
                <w:sz w:val="21"/>
                <w:szCs w:val="24"/>
                <w:highlight w:val="none"/>
              </w:rPr>
              <w:t>开课学期各专业确定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6" w:hRule="atLeast"/>
          <w:jc w:val="center"/>
        </w:trPr>
        <w:tc>
          <w:tcPr>
            <w:tcW w:w="784" w:type="pct"/>
            <w:vMerge w:val="continue"/>
            <w:vAlign w:val="center"/>
          </w:tcPr>
          <w:p>
            <w:pPr>
              <w:rPr>
                <w:rFonts w:ascii="仿宋_GB2312" w:hAnsi="仿宋_GB2312" w:eastAsia="仿宋_GB2312" w:cs="仿宋_GB2312"/>
                <w:color w:val="auto"/>
                <w:sz w:val="2"/>
                <w:szCs w:val="2"/>
                <w:highlight w:val="none"/>
              </w:rPr>
            </w:pPr>
          </w:p>
        </w:tc>
        <w:tc>
          <w:tcPr>
            <w:tcW w:w="1349" w:type="pct"/>
            <w:vAlign w:val="center"/>
          </w:tcPr>
          <w:p>
            <w:pPr>
              <w:pStyle w:val="14"/>
              <w:spacing w:before="0"/>
              <w:ind w:firstLine="105" w:firstLineChars="50"/>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2.儿外科医生临床能力培养</w:t>
            </w:r>
          </w:p>
        </w:tc>
        <w:tc>
          <w:tcPr>
            <w:tcW w:w="476" w:type="pct"/>
            <w:vAlign w:val="center"/>
          </w:tcPr>
          <w:p>
            <w:pPr>
              <w:pStyle w:val="14"/>
              <w:spacing w:before="22"/>
              <w:ind w:left="17"/>
              <w:rPr>
                <w:rFonts w:hint="eastAsia"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2</w:t>
            </w:r>
          </w:p>
        </w:tc>
        <w:tc>
          <w:tcPr>
            <w:tcW w:w="436" w:type="pct"/>
            <w:vAlign w:val="center"/>
          </w:tcPr>
          <w:p>
            <w:pPr>
              <w:pStyle w:val="14"/>
              <w:spacing w:before="22"/>
              <w:ind w:left="98" w:right="78"/>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32</w:t>
            </w:r>
          </w:p>
        </w:tc>
        <w:tc>
          <w:tcPr>
            <w:tcW w:w="456" w:type="pct"/>
            <w:vAlign w:val="center"/>
          </w:tcPr>
          <w:p>
            <w:pPr>
              <w:widowControl/>
              <w:spacing w:line="360" w:lineRule="exact"/>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w:t>
            </w:r>
          </w:p>
        </w:tc>
        <w:tc>
          <w:tcPr>
            <w:tcW w:w="1051" w:type="pct"/>
            <w:vMerge w:val="continue"/>
            <w:vAlign w:val="center"/>
          </w:tcPr>
          <w:p>
            <w:pPr>
              <w:jc w:val="center"/>
              <w:rPr>
                <w:rFonts w:ascii="仿宋_GB2312" w:hAnsi="仿宋_GB2312" w:eastAsia="仿宋_GB2312" w:cs="仿宋_GB2312"/>
                <w:color w:val="auto"/>
                <w:sz w:val="2"/>
                <w:szCs w:val="2"/>
                <w:highlight w:val="none"/>
              </w:rPr>
            </w:pPr>
          </w:p>
        </w:tc>
        <w:tc>
          <w:tcPr>
            <w:tcW w:w="444" w:type="pct"/>
            <w:vMerge w:val="continue"/>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784" w:type="pct"/>
            <w:vMerge w:val="restart"/>
            <w:vAlign w:val="center"/>
          </w:tcPr>
          <w:p>
            <w:pPr>
              <w:rPr>
                <w:rFonts w:hint="default" w:ascii="仿宋_GB2312" w:hAnsi="仿宋_GB2312" w:eastAsia="仿宋_GB2312" w:cs="仿宋_GB2312"/>
                <w:color w:val="auto"/>
                <w:sz w:val="2"/>
                <w:szCs w:val="2"/>
                <w:highlight w:val="none"/>
                <w:lang w:val="en-US" w:eastAsia="zh-CN"/>
              </w:rPr>
            </w:pPr>
            <w:r>
              <w:rPr>
                <w:rFonts w:hint="eastAsia" w:ascii="仿宋_GB2312" w:hAnsi="仿宋_GB2312" w:eastAsia="仿宋_GB2312" w:cs="仿宋_GB2312"/>
                <w:color w:val="auto"/>
                <w:kern w:val="2"/>
                <w:sz w:val="21"/>
                <w:szCs w:val="24"/>
                <w:highlight w:val="none"/>
                <w:lang w:val="en-US" w:eastAsia="zh-CN" w:bidi="ar-SA"/>
              </w:rPr>
              <w:t>临床能力训练（8学分）</w:t>
            </w:r>
          </w:p>
        </w:tc>
        <w:tc>
          <w:tcPr>
            <w:tcW w:w="1349" w:type="pct"/>
            <w:vAlign w:val="center"/>
          </w:tcPr>
          <w:p>
            <w:pPr>
              <w:pStyle w:val="14"/>
              <w:spacing w:before="0"/>
              <w:ind w:firstLine="105" w:firstLineChars="50"/>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临床技能实践</w:t>
            </w:r>
          </w:p>
        </w:tc>
        <w:tc>
          <w:tcPr>
            <w:tcW w:w="476" w:type="pct"/>
            <w:vAlign w:val="center"/>
          </w:tcPr>
          <w:p>
            <w:pPr>
              <w:pStyle w:val="14"/>
              <w:spacing w:before="22"/>
              <w:ind w:left="17"/>
              <w:rPr>
                <w:rFonts w:hint="default"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6</w:t>
            </w:r>
          </w:p>
        </w:tc>
        <w:tc>
          <w:tcPr>
            <w:tcW w:w="436" w:type="pct"/>
            <w:vAlign w:val="center"/>
          </w:tcPr>
          <w:p>
            <w:pPr>
              <w:pStyle w:val="14"/>
              <w:spacing w:before="22"/>
              <w:ind w:left="98" w:right="78"/>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33个月</w:t>
            </w:r>
          </w:p>
        </w:tc>
        <w:tc>
          <w:tcPr>
            <w:tcW w:w="456" w:type="pct"/>
            <w:vAlign w:val="center"/>
          </w:tcPr>
          <w:p>
            <w:pPr>
              <w:pStyle w:val="14"/>
              <w:widowControl/>
              <w:spacing w:line="360" w:lineRule="exact"/>
              <w:ind w:firstLine="105" w:firstLineChars="50"/>
              <w:jc w:val="left"/>
              <w:rPr>
                <w:rFonts w:hint="eastAsia" w:ascii="仿宋_GB2312" w:hAnsi="仿宋_GB2312" w:eastAsia="仿宋_GB2312" w:cs="仿宋_GB2312"/>
                <w:color w:val="auto"/>
                <w:kern w:val="2"/>
                <w:szCs w:val="24"/>
                <w:highlight w:val="none"/>
                <w:lang w:val="en-US" w:eastAsia="zh-CN"/>
              </w:rPr>
            </w:pPr>
            <w:r>
              <w:rPr>
                <w:rFonts w:hint="eastAsia" w:ascii="仿宋_GB2312" w:hAnsi="仿宋_GB2312" w:eastAsia="仿宋_GB2312" w:cs="仿宋_GB2312"/>
                <w:color w:val="auto"/>
                <w:kern w:val="2"/>
                <w:sz w:val="21"/>
                <w:szCs w:val="24"/>
                <w:highlight w:val="none"/>
              </w:rPr>
              <w:t>1～6</w:t>
            </w:r>
          </w:p>
        </w:tc>
        <w:tc>
          <w:tcPr>
            <w:tcW w:w="1051" w:type="pct"/>
            <w:vMerge w:val="restart"/>
            <w:vAlign w:val="center"/>
          </w:tcPr>
          <w:p>
            <w:pPr>
              <w:jc w:val="center"/>
              <w:rPr>
                <w:rFonts w:hint="default" w:ascii="仿宋_GB2312" w:hAnsi="仿宋_GB2312" w:eastAsia="仿宋_GB2312" w:cs="仿宋_GB2312"/>
                <w:color w:val="auto"/>
                <w:sz w:val="2"/>
                <w:szCs w:val="2"/>
                <w:highlight w:val="none"/>
                <w:lang w:val="en-US" w:eastAsia="zh-CN"/>
              </w:rPr>
            </w:pPr>
            <w:r>
              <w:rPr>
                <w:rFonts w:hint="eastAsia" w:ascii="仿宋_GB2312" w:hAnsi="仿宋_GB2312" w:eastAsia="仿宋_GB2312" w:cs="仿宋_GB2312"/>
                <w:color w:val="auto"/>
                <w:highlight w:val="none"/>
                <w:lang w:val="en-US" w:eastAsia="zh-CN"/>
              </w:rPr>
              <w:t>培养基地</w:t>
            </w:r>
          </w:p>
        </w:tc>
        <w:tc>
          <w:tcPr>
            <w:tcW w:w="444" w:type="pct"/>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784" w:type="pct"/>
            <w:vMerge w:val="continue"/>
            <w:vAlign w:val="center"/>
          </w:tcPr>
          <w:p>
            <w:pPr>
              <w:rPr>
                <w:rFonts w:hint="eastAsia" w:ascii="仿宋_GB2312" w:hAnsi="仿宋_GB2312" w:eastAsia="仿宋_GB2312" w:cs="仿宋_GB2312"/>
                <w:color w:val="auto"/>
                <w:kern w:val="2"/>
                <w:sz w:val="21"/>
                <w:szCs w:val="24"/>
                <w:highlight w:val="none"/>
                <w:lang w:val="en-US" w:eastAsia="zh-CN" w:bidi="ar-SA"/>
              </w:rPr>
            </w:pPr>
          </w:p>
        </w:tc>
        <w:tc>
          <w:tcPr>
            <w:tcW w:w="1349" w:type="pct"/>
            <w:vAlign w:val="center"/>
          </w:tcPr>
          <w:p>
            <w:pPr>
              <w:pStyle w:val="14"/>
              <w:spacing w:before="0"/>
              <w:ind w:firstLine="105" w:firstLineChars="50"/>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临床教学实践</w:t>
            </w:r>
          </w:p>
        </w:tc>
        <w:tc>
          <w:tcPr>
            <w:tcW w:w="476" w:type="pct"/>
            <w:vAlign w:val="center"/>
          </w:tcPr>
          <w:p>
            <w:pPr>
              <w:pStyle w:val="14"/>
              <w:spacing w:before="22"/>
              <w:ind w:left="17"/>
              <w:rPr>
                <w:rFonts w:hint="default"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2</w:t>
            </w:r>
          </w:p>
        </w:tc>
        <w:tc>
          <w:tcPr>
            <w:tcW w:w="436" w:type="pct"/>
            <w:vAlign w:val="center"/>
          </w:tcPr>
          <w:p>
            <w:pPr>
              <w:pStyle w:val="14"/>
              <w:spacing w:before="22"/>
              <w:ind w:left="98" w:right="78"/>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32</w:t>
            </w:r>
          </w:p>
        </w:tc>
        <w:tc>
          <w:tcPr>
            <w:tcW w:w="456" w:type="pct"/>
            <w:vAlign w:val="center"/>
          </w:tcPr>
          <w:p>
            <w:pPr>
              <w:pStyle w:val="14"/>
              <w:widowControl/>
              <w:spacing w:line="360" w:lineRule="exact"/>
              <w:ind w:firstLine="105" w:firstLineChars="50"/>
              <w:jc w:val="left"/>
              <w:rPr>
                <w:rFonts w:hint="eastAsia" w:ascii="仿宋_GB2312" w:hAnsi="仿宋_GB2312" w:eastAsia="仿宋_GB2312" w:cs="仿宋_GB2312"/>
                <w:color w:val="auto"/>
                <w:kern w:val="2"/>
                <w:szCs w:val="24"/>
                <w:highlight w:val="none"/>
                <w:lang w:val="en-US" w:eastAsia="zh-CN"/>
              </w:rPr>
            </w:pPr>
            <w:r>
              <w:rPr>
                <w:rFonts w:hint="eastAsia" w:ascii="仿宋_GB2312" w:hAnsi="仿宋_GB2312" w:eastAsia="仿宋_GB2312" w:cs="仿宋_GB2312"/>
                <w:color w:val="auto"/>
                <w:kern w:val="2"/>
                <w:sz w:val="21"/>
                <w:szCs w:val="24"/>
                <w:highlight w:val="none"/>
              </w:rPr>
              <w:t>1～6</w:t>
            </w:r>
          </w:p>
        </w:tc>
        <w:tc>
          <w:tcPr>
            <w:tcW w:w="1051" w:type="pct"/>
            <w:vMerge w:val="continue"/>
            <w:vAlign w:val="center"/>
          </w:tcPr>
          <w:p>
            <w:pPr>
              <w:rPr>
                <w:rFonts w:hint="eastAsia" w:ascii="仿宋_GB2312" w:hAnsi="仿宋_GB2312" w:eastAsia="仿宋_GB2312" w:cs="仿宋_GB2312"/>
                <w:color w:val="auto"/>
                <w:highlight w:val="none"/>
                <w:lang w:val="en-US" w:eastAsia="zh-CN"/>
              </w:rPr>
            </w:pPr>
          </w:p>
        </w:tc>
        <w:tc>
          <w:tcPr>
            <w:tcW w:w="444" w:type="pct"/>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784" w:type="pct"/>
            <w:vMerge w:val="restart"/>
            <w:vAlign w:val="center"/>
          </w:tcPr>
          <w:p>
            <w:pP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color w:val="auto"/>
                <w:kern w:val="2"/>
                <w:sz w:val="21"/>
                <w:szCs w:val="24"/>
                <w:highlight w:val="none"/>
                <w:lang w:val="en-US" w:eastAsia="zh-CN" w:bidi="ar-SA"/>
              </w:rPr>
              <w:t>必修环节</w:t>
            </w:r>
          </w:p>
          <w:p>
            <w:pPr>
              <w:rPr>
                <w:rFonts w:hint="default"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color w:val="auto"/>
                <w:kern w:val="2"/>
                <w:sz w:val="21"/>
                <w:szCs w:val="24"/>
                <w:highlight w:val="none"/>
                <w:lang w:val="en-US" w:eastAsia="zh-CN" w:bidi="ar-SA"/>
              </w:rPr>
              <w:t>（4学分）</w:t>
            </w:r>
          </w:p>
        </w:tc>
        <w:tc>
          <w:tcPr>
            <w:tcW w:w="1349" w:type="pct"/>
            <w:vAlign w:val="center"/>
          </w:tcPr>
          <w:p>
            <w:pPr>
              <w:pStyle w:val="14"/>
              <w:spacing w:before="0"/>
              <w:ind w:firstLine="105" w:firstLineChars="50"/>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文献阅读与开题报告</w:t>
            </w:r>
          </w:p>
        </w:tc>
        <w:tc>
          <w:tcPr>
            <w:tcW w:w="476" w:type="pct"/>
            <w:vAlign w:val="center"/>
          </w:tcPr>
          <w:p>
            <w:pPr>
              <w:pStyle w:val="14"/>
              <w:spacing w:before="22"/>
              <w:ind w:left="17"/>
              <w:rPr>
                <w:rFonts w:hint="default"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436" w:type="pct"/>
            <w:vAlign w:val="center"/>
          </w:tcPr>
          <w:p>
            <w:pPr>
              <w:pStyle w:val="14"/>
              <w:spacing w:before="22"/>
              <w:ind w:left="98" w:right="78"/>
              <w:rPr>
                <w:rFonts w:hint="eastAsia" w:ascii="仿宋_GB2312" w:hAnsi="仿宋_GB2312" w:eastAsia="仿宋_GB2312" w:cs="仿宋_GB2312"/>
                <w:color w:val="auto"/>
                <w:highlight w:val="none"/>
                <w:lang w:val="en-US" w:eastAsia="zh-CN"/>
              </w:rPr>
            </w:pPr>
          </w:p>
        </w:tc>
        <w:tc>
          <w:tcPr>
            <w:tcW w:w="456" w:type="pct"/>
            <w:vAlign w:val="center"/>
          </w:tcPr>
          <w:p>
            <w:pPr>
              <w:pStyle w:val="14"/>
              <w:widowControl/>
              <w:spacing w:line="360" w:lineRule="exact"/>
              <w:ind w:firstLine="105" w:firstLineChars="50"/>
              <w:jc w:val="center"/>
              <w:rPr>
                <w:rFonts w:hint="eastAsia" w:ascii="仿宋_GB2312" w:hAnsi="仿宋_GB2312" w:eastAsia="仿宋_GB2312" w:cs="仿宋_GB2312"/>
                <w:color w:val="auto"/>
                <w:kern w:val="2"/>
                <w:szCs w:val="24"/>
                <w:highlight w:val="none"/>
                <w:lang w:val="en-US" w:eastAsia="zh-CN"/>
              </w:rPr>
            </w:pPr>
            <w:r>
              <w:rPr>
                <w:rFonts w:hint="eastAsia" w:ascii="仿宋_GB2312" w:hAnsi="仿宋_GB2312" w:eastAsia="仿宋_GB2312" w:cs="仿宋_GB2312"/>
                <w:color w:val="auto"/>
                <w:kern w:val="2"/>
                <w:szCs w:val="24"/>
                <w:highlight w:val="none"/>
                <w:lang w:val="en-US" w:eastAsia="zh-CN"/>
              </w:rPr>
              <w:t>2</w:t>
            </w:r>
          </w:p>
        </w:tc>
        <w:tc>
          <w:tcPr>
            <w:tcW w:w="1051" w:type="pct"/>
            <w:vMerge w:val="restart"/>
            <w:vAlign w:val="center"/>
          </w:tcPr>
          <w:p>
            <w:pPr>
              <w:pStyle w:val="14"/>
              <w:spacing w:before="131"/>
              <w:ind w:left="107"/>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培养基地</w:t>
            </w:r>
          </w:p>
        </w:tc>
        <w:tc>
          <w:tcPr>
            <w:tcW w:w="444" w:type="pct"/>
            <w:vMerge w:val="restart"/>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784" w:type="pct"/>
            <w:vMerge w:val="continue"/>
            <w:vAlign w:val="center"/>
          </w:tcPr>
          <w:p>
            <w:pPr>
              <w:rPr>
                <w:rFonts w:hint="eastAsia" w:ascii="仿宋_GB2312" w:hAnsi="仿宋_GB2312" w:eastAsia="仿宋_GB2312" w:cs="仿宋_GB2312"/>
                <w:color w:val="auto"/>
                <w:kern w:val="2"/>
                <w:sz w:val="21"/>
                <w:szCs w:val="24"/>
                <w:highlight w:val="none"/>
                <w:lang w:val="en-US" w:eastAsia="zh-CN" w:bidi="ar-SA"/>
              </w:rPr>
            </w:pPr>
          </w:p>
        </w:tc>
        <w:tc>
          <w:tcPr>
            <w:tcW w:w="1349" w:type="pct"/>
            <w:vAlign w:val="center"/>
          </w:tcPr>
          <w:p>
            <w:pPr>
              <w:pStyle w:val="14"/>
              <w:spacing w:before="0"/>
              <w:ind w:firstLine="105" w:firstLineChars="50"/>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学位论文中期进展报告</w:t>
            </w:r>
          </w:p>
        </w:tc>
        <w:tc>
          <w:tcPr>
            <w:tcW w:w="476" w:type="pct"/>
            <w:vAlign w:val="center"/>
          </w:tcPr>
          <w:p>
            <w:pPr>
              <w:pStyle w:val="14"/>
              <w:spacing w:before="22"/>
              <w:ind w:left="17"/>
              <w:rPr>
                <w:rFonts w:hint="default"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1</w:t>
            </w:r>
          </w:p>
        </w:tc>
        <w:tc>
          <w:tcPr>
            <w:tcW w:w="436" w:type="pct"/>
            <w:vAlign w:val="center"/>
          </w:tcPr>
          <w:p>
            <w:pPr>
              <w:pStyle w:val="14"/>
              <w:spacing w:before="22"/>
              <w:ind w:left="98" w:right="78"/>
              <w:rPr>
                <w:rFonts w:hint="eastAsia" w:ascii="仿宋_GB2312" w:hAnsi="仿宋_GB2312" w:eastAsia="仿宋_GB2312" w:cs="仿宋_GB2312"/>
                <w:color w:val="auto"/>
                <w:highlight w:val="none"/>
                <w:lang w:val="en-US" w:eastAsia="zh-CN"/>
              </w:rPr>
            </w:pPr>
          </w:p>
        </w:tc>
        <w:tc>
          <w:tcPr>
            <w:tcW w:w="456" w:type="pct"/>
            <w:vAlign w:val="center"/>
          </w:tcPr>
          <w:p>
            <w:pPr>
              <w:widowControl/>
              <w:spacing w:line="360" w:lineRule="exact"/>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4</w:t>
            </w:r>
          </w:p>
        </w:tc>
        <w:tc>
          <w:tcPr>
            <w:tcW w:w="1051" w:type="pct"/>
            <w:vMerge w:val="continue"/>
            <w:vAlign w:val="center"/>
          </w:tcPr>
          <w:p>
            <w:pPr>
              <w:rPr>
                <w:rFonts w:hint="eastAsia" w:ascii="仿宋_GB2312" w:hAnsi="仿宋_GB2312" w:eastAsia="仿宋_GB2312" w:cs="仿宋_GB2312"/>
                <w:color w:val="auto"/>
                <w:highlight w:val="none"/>
                <w:lang w:val="en-US" w:eastAsia="zh-CN"/>
              </w:rPr>
            </w:pPr>
          </w:p>
        </w:tc>
        <w:tc>
          <w:tcPr>
            <w:tcW w:w="444" w:type="pct"/>
            <w:vMerge w:val="continue"/>
            <w:vAlign w:val="center"/>
          </w:tcPr>
          <w:p>
            <w:pPr>
              <w:rPr>
                <w:rFonts w:ascii="仿宋_GB2312" w:hAnsi="仿宋_GB2312" w:eastAsia="仿宋_GB2312" w:cs="仿宋_GB2312"/>
                <w:color w:val="auto"/>
                <w:sz w:val="2"/>
                <w:szCs w:val="2"/>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784" w:type="pct"/>
            <w:vMerge w:val="continue"/>
            <w:vAlign w:val="center"/>
          </w:tcPr>
          <w:p>
            <w:pPr>
              <w:rPr>
                <w:rFonts w:hint="eastAsia" w:ascii="仿宋_GB2312" w:hAnsi="仿宋_GB2312" w:eastAsia="仿宋_GB2312" w:cs="仿宋_GB2312"/>
                <w:color w:val="auto"/>
                <w:kern w:val="2"/>
                <w:sz w:val="21"/>
                <w:szCs w:val="24"/>
                <w:highlight w:val="none"/>
                <w:lang w:val="en-US" w:eastAsia="zh-CN" w:bidi="ar-SA"/>
              </w:rPr>
            </w:pPr>
          </w:p>
        </w:tc>
        <w:tc>
          <w:tcPr>
            <w:tcW w:w="1349" w:type="pct"/>
            <w:vAlign w:val="center"/>
          </w:tcPr>
          <w:p>
            <w:pPr>
              <w:pStyle w:val="14"/>
              <w:spacing w:before="0"/>
              <w:ind w:firstLine="105" w:firstLineChars="50"/>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学术交流与学术报告</w:t>
            </w:r>
          </w:p>
        </w:tc>
        <w:tc>
          <w:tcPr>
            <w:tcW w:w="476" w:type="pct"/>
            <w:vAlign w:val="center"/>
          </w:tcPr>
          <w:p>
            <w:pPr>
              <w:pStyle w:val="14"/>
              <w:spacing w:before="22"/>
              <w:ind w:left="17"/>
              <w:rPr>
                <w:rFonts w:hint="default" w:ascii="仿宋_GB2312" w:hAnsi="仿宋_GB2312" w:eastAsia="仿宋_GB2312" w:cs="仿宋_GB2312"/>
                <w:color w:val="auto"/>
                <w:w w:val="99"/>
                <w:highlight w:val="none"/>
                <w:lang w:val="en-US" w:eastAsia="zh-CN"/>
              </w:rPr>
            </w:pPr>
            <w:r>
              <w:rPr>
                <w:rFonts w:hint="eastAsia" w:ascii="仿宋_GB2312" w:hAnsi="仿宋_GB2312" w:eastAsia="仿宋_GB2312" w:cs="仿宋_GB2312"/>
                <w:color w:val="auto"/>
                <w:w w:val="99"/>
                <w:highlight w:val="none"/>
                <w:lang w:val="en-US" w:eastAsia="zh-CN"/>
              </w:rPr>
              <w:t>2</w:t>
            </w:r>
          </w:p>
        </w:tc>
        <w:tc>
          <w:tcPr>
            <w:tcW w:w="436" w:type="pct"/>
            <w:vAlign w:val="center"/>
          </w:tcPr>
          <w:p>
            <w:pPr>
              <w:pStyle w:val="14"/>
              <w:spacing w:before="22"/>
              <w:ind w:left="98" w:right="78"/>
              <w:rPr>
                <w:rFonts w:hint="eastAsia" w:ascii="仿宋_GB2312" w:hAnsi="仿宋_GB2312" w:eastAsia="仿宋_GB2312" w:cs="仿宋_GB2312"/>
                <w:color w:val="auto"/>
                <w:highlight w:val="none"/>
                <w:lang w:val="en-US" w:eastAsia="zh-CN"/>
              </w:rPr>
            </w:pPr>
          </w:p>
        </w:tc>
        <w:tc>
          <w:tcPr>
            <w:tcW w:w="456" w:type="pct"/>
            <w:vAlign w:val="center"/>
          </w:tcPr>
          <w:p>
            <w:pPr>
              <w:widowControl/>
              <w:spacing w:line="360" w:lineRule="exact"/>
              <w:jc w:val="center"/>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1-6</w:t>
            </w:r>
          </w:p>
        </w:tc>
        <w:tc>
          <w:tcPr>
            <w:tcW w:w="1051" w:type="pct"/>
            <w:vMerge w:val="continue"/>
            <w:vAlign w:val="center"/>
          </w:tcPr>
          <w:p>
            <w:pPr>
              <w:rPr>
                <w:rFonts w:hint="eastAsia" w:ascii="仿宋_GB2312" w:hAnsi="仿宋_GB2312" w:eastAsia="仿宋_GB2312" w:cs="仿宋_GB2312"/>
                <w:color w:val="auto"/>
                <w:highlight w:val="none"/>
                <w:lang w:val="en-US" w:eastAsia="zh-CN"/>
              </w:rPr>
            </w:pPr>
          </w:p>
        </w:tc>
        <w:tc>
          <w:tcPr>
            <w:tcW w:w="444" w:type="pct"/>
            <w:vMerge w:val="continue"/>
            <w:vAlign w:val="center"/>
          </w:tcPr>
          <w:p>
            <w:pPr>
              <w:rPr>
                <w:rFonts w:ascii="仿宋_GB2312" w:hAnsi="仿宋_GB2312" w:eastAsia="仿宋_GB2312" w:cs="仿宋_GB2312"/>
                <w:color w:val="auto"/>
                <w:sz w:val="2"/>
                <w:szCs w:val="2"/>
                <w:highlight w:val="none"/>
              </w:rPr>
            </w:pPr>
          </w:p>
        </w:tc>
      </w:tr>
    </w:tbl>
    <w:p>
      <w:pPr>
        <w:spacing w:line="560" w:lineRule="exact"/>
        <w:ind w:left="0" w:firstLine="640" w:firstLineChars="200"/>
        <w:rPr>
          <w:rFonts w:hint="eastAsia" w:ascii="楷体_GB2312" w:hAnsi="宋体" w:eastAsia="楷体_GB2312" w:cs="Times New Roman"/>
          <w:color w:val="auto"/>
          <w:sz w:val="32"/>
          <w:szCs w:val="32"/>
          <w:highlight w:val="none"/>
        </w:rPr>
      </w:pPr>
      <w:r>
        <w:rPr>
          <w:rFonts w:hint="eastAsia" w:ascii="楷体_GB2312" w:hAnsi="宋体" w:eastAsia="楷体_GB2312" w:cs="Times New Roman"/>
          <w:color w:val="auto"/>
          <w:sz w:val="32"/>
          <w:szCs w:val="32"/>
          <w:highlight w:val="none"/>
        </w:rPr>
        <w:t>二、课程教学</w:t>
      </w:r>
    </w:p>
    <w:p>
      <w:pPr>
        <w:autoSpaceDE w:val="0"/>
        <w:autoSpaceDN w:val="0"/>
        <w:adjustRightInd w:val="0"/>
        <w:snapToGrid w:val="0"/>
        <w:spacing w:line="560" w:lineRule="exact"/>
        <w:ind w:left="0" w:firstLine="640" w:firstLineChars="200"/>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课程教学采取集中授课、网络教学、专题讲座等相结合的方式。在临床轮转期间，每月安排不少于两个半天的集中学习，以讲座、教学研讨会、案例分析等方式，学习各相关学科的新进展、新知识,可与</w:t>
      </w:r>
      <w:r>
        <w:rPr>
          <w:rFonts w:hint="eastAsia" w:ascii="仿宋_GB2312" w:hAnsi="宋体" w:eastAsia="仿宋_GB2312" w:cs="Times New Roman"/>
          <w:b w:val="0"/>
          <w:bCs w:val="0"/>
          <w:color w:val="auto"/>
          <w:sz w:val="32"/>
          <w:szCs w:val="32"/>
          <w:highlight w:val="none"/>
          <w:lang w:val="en-US" w:eastAsia="zh-CN"/>
        </w:rPr>
        <w:t>专业基础课、</w:t>
      </w:r>
      <w:r>
        <w:rPr>
          <w:rFonts w:hint="eastAsia" w:ascii="仿宋_GB2312" w:hAnsi="宋体" w:eastAsia="仿宋_GB2312" w:cs="Times New Roman"/>
          <w:b w:val="0"/>
          <w:bCs w:val="0"/>
          <w:color w:val="auto"/>
          <w:sz w:val="32"/>
          <w:szCs w:val="32"/>
          <w:highlight w:val="none"/>
        </w:rPr>
        <w:t>专业课、选修课的学习结合进行。</w:t>
      </w:r>
    </w:p>
    <w:p>
      <w:pPr>
        <w:widowControl/>
        <w:shd w:val="clear" w:color="auto" w:fill="FFFFFF"/>
        <w:adjustRightInd w:val="0"/>
        <w:snapToGrid w:val="0"/>
        <w:spacing w:line="560" w:lineRule="exact"/>
        <w:ind w:left="0" w:firstLine="640" w:firstLineChars="200"/>
        <w:jc w:val="both"/>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1.公共学位课和公共选修课：由学校安排教学并组织考核。</w:t>
      </w:r>
    </w:p>
    <w:p>
      <w:pPr>
        <w:widowControl/>
        <w:shd w:val="clear" w:color="auto" w:fill="FFFFFF"/>
        <w:adjustRightInd w:val="0"/>
        <w:snapToGrid w:val="0"/>
        <w:spacing w:line="560" w:lineRule="exact"/>
        <w:ind w:left="0" w:firstLine="640" w:firstLineChars="200"/>
        <w:jc w:val="both"/>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2.专业基础课：专业基础课与住院医师规范化培训课程相统一，通过专题教育、网络课程、学生自学等方式完成学习，由各学院组织授课与考核。</w:t>
      </w:r>
    </w:p>
    <w:p>
      <w:pPr>
        <w:widowControl/>
        <w:shd w:val="clear" w:color="auto" w:fill="FFFFFF"/>
        <w:adjustRightInd w:val="0"/>
        <w:snapToGrid w:val="0"/>
        <w:spacing w:line="560" w:lineRule="exact"/>
        <w:ind w:firstLine="640" w:firstLineChars="200"/>
        <w:jc w:val="both"/>
        <w:rPr>
          <w:rFonts w:hint="eastAsia" w:ascii="仿宋_GB2312" w:hAnsi="宋体" w:eastAsia="仿宋_GB2312" w:cs="Times New Roman"/>
          <w:b w:val="0"/>
          <w:bCs w:val="0"/>
          <w:color w:val="auto"/>
          <w:sz w:val="32"/>
          <w:szCs w:val="32"/>
          <w:highlight w:val="none"/>
          <w:lang w:val="en-US" w:eastAsia="zh-CN"/>
        </w:rPr>
      </w:pPr>
      <w:r>
        <w:rPr>
          <w:rFonts w:hint="eastAsia" w:ascii="仿宋_GB2312" w:hAnsi="宋体" w:eastAsia="仿宋_GB2312" w:cs="Times New Roman"/>
          <w:b w:val="0"/>
          <w:bCs w:val="0"/>
          <w:color w:val="auto"/>
          <w:kern w:val="2"/>
          <w:sz w:val="32"/>
          <w:szCs w:val="32"/>
          <w:highlight w:val="none"/>
          <w:lang w:val="en-US" w:eastAsia="zh-CN" w:bidi="ar-SA"/>
        </w:rPr>
        <w:t>3.专业课：专业课必须按二级学科设置，主要采取教（导)师讲授、辅以研讨、阅读文献、自学等方式组织学习。授课内容应在本科教育的基础上，充分体现硕士生层次的特点，要有一定的宽广度和纵深度，并具有系统性、实用性、前沿性和前瞻性。由培养基地组织授课与考核，考核必须于第四学期结束前完成。</w:t>
      </w:r>
    </w:p>
    <w:p>
      <w:pPr>
        <w:widowControl/>
        <w:shd w:val="clear" w:color="auto" w:fill="FFFFFF"/>
        <w:adjustRightInd w:val="0"/>
        <w:snapToGrid w:val="0"/>
        <w:spacing w:line="560" w:lineRule="exact"/>
        <w:ind w:left="0" w:firstLine="640" w:firstLineChars="200"/>
        <w:jc w:val="both"/>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b w:val="0"/>
          <w:bCs w:val="0"/>
          <w:color w:val="auto"/>
          <w:kern w:val="2"/>
          <w:sz w:val="32"/>
          <w:szCs w:val="32"/>
          <w:highlight w:val="none"/>
          <w:lang w:val="en-US" w:eastAsia="zh-CN" w:bidi="ar-SA"/>
        </w:rPr>
        <w:t>4.专业外语：以医学论文写作和专业英语学习为主，通过临床导师指定专业外语经典著作书目、期刊、杂志，以学生自学为主，辅以专题讲座、讨论、辅导等方式进行，由培养基地组织授课与考核，考核必须于第四学期结束前完成。</w:t>
      </w:r>
    </w:p>
    <w:p>
      <w:pPr>
        <w:widowControl/>
        <w:shd w:val="clear" w:color="auto" w:fill="FFFFFF"/>
        <w:adjustRightInd w:val="0"/>
        <w:snapToGrid w:val="0"/>
        <w:spacing w:line="560" w:lineRule="exact"/>
        <w:ind w:firstLine="640" w:firstLineChars="200"/>
        <w:jc w:val="both"/>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kern w:val="2"/>
          <w:sz w:val="32"/>
          <w:szCs w:val="32"/>
          <w:highlight w:val="none"/>
          <w:lang w:val="en-US" w:eastAsia="zh-CN" w:bidi="ar-SA"/>
        </w:rPr>
        <w:t>5.专业选修课：根据需要开设与本专业相关的选修课程，由培养基地安排教学并组织考核，考核必须于第四学期结束前完成。</w:t>
      </w:r>
    </w:p>
    <w:p>
      <w:pPr>
        <w:widowControl/>
        <w:shd w:val="clear" w:color="auto" w:fill="FFFFFF"/>
        <w:adjustRightInd w:val="0"/>
        <w:snapToGrid w:val="0"/>
        <w:spacing w:line="560" w:lineRule="exact"/>
        <w:ind w:left="0" w:firstLine="640" w:firstLineChars="200"/>
        <w:jc w:val="both"/>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rPr>
        <w:t>6.学术活动：研究生在校期间须参加学术讲座每学年不低于2次。研究生参加或进行学术报告，每次应有不少于500字的总结，并经导师签字后留存，达到要求后，按规定时间交培养基地研究生管理部门审核、存档，获得相应学分并作为研究生申请答辩的必备材料。</w:t>
      </w:r>
    </w:p>
    <w:p>
      <w:pPr>
        <w:spacing w:line="560" w:lineRule="exact"/>
        <w:ind w:left="0" w:firstLine="640" w:firstLineChars="200"/>
        <w:rPr>
          <w:rFonts w:hint="eastAsia" w:ascii="楷体_GB2312" w:hAnsi="宋体" w:eastAsia="楷体_GB2312" w:cs="Times New Roman"/>
          <w:color w:val="auto"/>
          <w:sz w:val="32"/>
          <w:szCs w:val="32"/>
          <w:highlight w:val="none"/>
        </w:rPr>
      </w:pPr>
      <w:r>
        <w:rPr>
          <w:rFonts w:hint="eastAsia" w:ascii="楷体_GB2312" w:hAnsi="宋体" w:eastAsia="楷体_GB2312" w:cs="Times New Roman"/>
          <w:color w:val="auto"/>
          <w:sz w:val="32"/>
          <w:szCs w:val="32"/>
          <w:highlight w:val="none"/>
        </w:rPr>
        <w:t>三、课程考核</w:t>
      </w:r>
    </w:p>
    <w:p>
      <w:pPr>
        <w:autoSpaceDE w:val="0"/>
        <w:autoSpaceDN w:val="0"/>
        <w:adjustRightInd w:val="0"/>
        <w:snapToGrid w:val="0"/>
        <w:spacing w:line="560" w:lineRule="exact"/>
        <w:ind w:firstLine="640" w:firstLineChars="200"/>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课程学习成绩至少由三部分构成：平时考核（包括课堂表现、随堂测试、课后作业等）、单元测试（含期中考试，考核形式包括知识测验、主题论文、调研报告等）、期末考试等。灵活选用开卷笔试、闭卷笔试、读书报告、论文撰写、实践操作、答辩考核等多种考核形式。原则上期末考试成绩权重不超过50%，单元测试次数根据学分情况和教学内容合理确定，一般每门课程每学期4次左右。平时成绩和单元测试成绩应有明确的赋分标准，且具有足够的区分度，不能流于形式。每门课程满分为100分，学位课程须达到75分为合格，非学位课程达到60分为合格。</w:t>
      </w:r>
    </w:p>
    <w:p>
      <w:pPr>
        <w:adjustRightInd w:val="0"/>
        <w:snapToGrid w:val="0"/>
        <w:spacing w:line="560" w:lineRule="exact"/>
        <w:ind w:left="0" w:firstLine="640" w:firstLineChars="200"/>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第</w:t>
      </w:r>
      <w:r>
        <w:rPr>
          <w:rFonts w:hint="eastAsia" w:ascii="黑体" w:hAnsi="宋体" w:eastAsia="黑体"/>
          <w:bCs/>
          <w:color w:val="auto"/>
          <w:sz w:val="32"/>
          <w:szCs w:val="32"/>
          <w:highlight w:val="none"/>
          <w:lang w:val="en-US" w:eastAsia="zh-CN"/>
        </w:rPr>
        <w:t>五</w:t>
      </w:r>
      <w:r>
        <w:rPr>
          <w:rFonts w:hint="eastAsia" w:ascii="黑体" w:hAnsi="宋体" w:eastAsia="黑体"/>
          <w:bCs/>
          <w:color w:val="auto"/>
          <w:sz w:val="32"/>
          <w:szCs w:val="32"/>
          <w:highlight w:val="none"/>
        </w:rPr>
        <w:t xml:space="preserve">条 </w:t>
      </w:r>
      <w:r>
        <w:rPr>
          <w:rFonts w:hint="eastAsia" w:ascii="黑体" w:hAnsi="宋体" w:eastAsia="黑体"/>
          <w:b w:val="0"/>
          <w:bCs/>
          <w:color w:val="auto"/>
          <w:sz w:val="32"/>
          <w:szCs w:val="32"/>
          <w:highlight w:val="none"/>
        </w:rPr>
        <w:t>临床能力训</w:t>
      </w:r>
      <w:r>
        <w:rPr>
          <w:rFonts w:hint="eastAsia" w:ascii="黑体" w:hAnsi="宋体" w:eastAsia="黑体"/>
          <w:bCs/>
          <w:color w:val="auto"/>
          <w:sz w:val="32"/>
          <w:szCs w:val="32"/>
          <w:highlight w:val="none"/>
        </w:rPr>
        <w:t>练和考核</w:t>
      </w:r>
    </w:p>
    <w:p>
      <w:pPr>
        <w:autoSpaceDE w:val="0"/>
        <w:autoSpaceDN w:val="0"/>
        <w:adjustRightInd w:val="0"/>
        <w:snapToGrid w:val="0"/>
        <w:spacing w:line="560" w:lineRule="exact"/>
        <w:ind w:firstLine="640" w:firstLineChars="200"/>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一、临床能力训练以提高临床实践能力为主，应在国家卫生计生行政部门公布的住院医师规范化培训基地进行。</w:t>
      </w:r>
    </w:p>
    <w:p>
      <w:pPr>
        <w:autoSpaceDE w:val="0"/>
        <w:autoSpaceDN w:val="0"/>
        <w:adjustRightInd w:val="0"/>
        <w:snapToGrid w:val="0"/>
        <w:spacing w:line="560" w:lineRule="exact"/>
        <w:ind w:firstLine="640" w:firstLineChars="200"/>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二、临床轮转按照国家住院医师规范化培训的相关要求进行，实际培训时间应不少于33个月，达到</w:t>
      </w:r>
      <w:r>
        <w:rPr>
          <w:rFonts w:hint="eastAsia" w:ascii="仿宋_GB2312" w:hAnsi="Helvetica" w:eastAsia="仿宋_GB2312" w:cs="Helvetica"/>
          <w:b w:val="0"/>
          <w:bCs w:val="0"/>
          <w:i w:val="0"/>
          <w:iCs w:val="0"/>
          <w:color w:val="auto"/>
          <w:kern w:val="0"/>
          <w:sz w:val="32"/>
          <w:szCs w:val="32"/>
          <w:highlight w:val="none"/>
          <w:lang w:val="en-US" w:eastAsia="zh-CN" w:bidi="ar-SA"/>
        </w:rPr>
        <w:t>儿外科学</w:t>
      </w:r>
      <w:r>
        <w:rPr>
          <w:rFonts w:hint="eastAsia" w:ascii="仿宋_GB2312" w:hAnsi="Helvetica" w:eastAsia="仿宋_GB2312" w:cs="Helvetica"/>
          <w:b w:val="0"/>
          <w:bCs w:val="0"/>
          <w:color w:val="auto"/>
          <w:kern w:val="0"/>
          <w:sz w:val="32"/>
          <w:szCs w:val="32"/>
          <w:highlight w:val="none"/>
          <w:lang w:val="en-US" w:eastAsia="zh-CN" w:bidi="ar-SA"/>
        </w:rPr>
        <w:t>培训标准细则的要求。</w:t>
      </w:r>
    </w:p>
    <w:p>
      <w:pPr>
        <w:autoSpaceDE w:val="0"/>
        <w:autoSpaceDN w:val="0"/>
        <w:adjustRightInd w:val="0"/>
        <w:snapToGrid w:val="0"/>
        <w:spacing w:line="560" w:lineRule="exact"/>
        <w:ind w:firstLine="640" w:firstLineChars="200"/>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1.培训目标</w:t>
      </w:r>
    </w:p>
    <w:p>
      <w:pPr>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遵循总则的要求,以六大核心胜任力为导向,通过3年规范化培训,培养住院医师良好的职业道德和沟通能力,对儿外科常见疾病的诊断、治疗、预防、随访具备一定经验,掌握儿外科临床基本技能和基本操作,能够独立完成简单儿外科手术,以及在上级医师指导下完成比较复杂的儿外科手术,将住院医师培养成为能独立、规范地承担本专业常见病多发病诊疗工作的临床医师。</w:t>
      </w:r>
    </w:p>
    <w:p>
      <w:pPr>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为实现上述目标,儿外科住院医师规范化培训可分两个阶段进行,具体要求如下。</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bidi="ar-SA"/>
        </w:rPr>
        <w:t xml:space="preserve">第一阶段,为培训第1年。住院医师进入普通外科、急诊外科和骨科轮转,此阶段培训主要目标为进入住院医师角色,在指导医师全程监督与指导下掌握外科基本理论和基本技能,熟悉儿外科临床工作的基本要求,熟悉诊疗工作的基本流程,学习并掌握规范接诊病人、病历书写、沟通协作、外科无菌技术,清洁与污染伤口管理等基本技能，熟悉并完成病人术前准备、手术消毒、备皮、术后管理、伤口换药等基本技能操作。通过完成外科基本理论和基本技能培训,为进一步进行儿外科各个亚专业培训打下坚实基础。 </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第二阶段,为培训第2、3年。此阶段住院医师应能够在指导医师监督下,独立完成接诊病人,临床思维及决策能力逐步提升,沟通能力更加成熟,能够独立完成临床基本技能操作和简单手术(如清创缝合、阑尾切除等)。此阶段住院医师还应根据基地安排,完成见习/实习学生及低年资住院医师临床带教工作。培训结束时,应基本具备从事儿外科临床工作的能力。</w:t>
      </w:r>
    </w:p>
    <w:p>
      <w:pPr>
        <w:autoSpaceDE w:val="0"/>
        <w:autoSpaceDN w:val="0"/>
        <w:adjustRightIn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2.培训方法</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培训期间轮转内容包括儿外科的普通外科、骨科、泌尿外科、新生儿外科、肿瘤外科、心外科、胸外科、神经外科、烧伤整形外科、影像科、病理科等相关专业与亚专科。不同医院科室设置有所不同,住院医师规范化培训要求的内容需要完全覆盖。</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培训总时间为36个月,其中含3个月机动,在外科所有专业完成33个月培训之后,在麻醉科、ICU、影像科、病理科中选择3个科室轮转,各1个月。</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 xml:space="preserve">儿外科住院医师规范化培训是为期3年的基础培训,轮转普通外科、骨科、泌尿外科、胸心外科、神经外科等儿外科的主要亚专业,并根据基地专业设置情况轮转独立设置的肿瘤外科、新生儿外科、烧伤整形外科等亚专业。儿外科培训基地内没有设置的其他亚专业,可在成人外科相应的亚专业完成。 </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采取在儿外科范围内各亚专业及其他相关科室轮转的形式进行。轮转期间参加一线值班,要求在各亚专业轮转时管理床位4</w:t>
      </w:r>
      <w:r>
        <w:rPr>
          <w:rFonts w:hint="eastAsia" w:ascii="微软雅黑" w:hAnsi="微软雅黑" w:eastAsia="微软雅黑" w:cs="微软雅黑"/>
          <w:b w:val="0"/>
          <w:bCs w:val="0"/>
          <w:color w:val="auto"/>
          <w:kern w:val="0"/>
          <w:sz w:val="32"/>
          <w:szCs w:val="32"/>
          <w:highlight w:val="none"/>
          <w:lang w:val="en-US" w:eastAsia="zh-CN" w:bidi="ar-SA"/>
        </w:rPr>
        <w:t>~</w:t>
      </w:r>
      <w:r>
        <w:rPr>
          <w:rFonts w:hint="eastAsia" w:ascii="仿宋_GB2312" w:hAnsi="Helvetica" w:eastAsia="仿宋_GB2312" w:cs="Helvetica"/>
          <w:b w:val="0"/>
          <w:bCs w:val="0"/>
          <w:color w:val="auto"/>
          <w:kern w:val="0"/>
          <w:sz w:val="32"/>
          <w:szCs w:val="32"/>
          <w:highlight w:val="none"/>
          <w:lang w:val="en-US" w:eastAsia="zh-CN" w:bidi="ar-SA"/>
        </w:rPr>
        <w:t>8张,月收治病人和完成手术10</w:t>
      </w:r>
      <w:r>
        <w:rPr>
          <w:rFonts w:hint="eastAsia" w:ascii="微软雅黑" w:hAnsi="微软雅黑" w:eastAsia="微软雅黑" w:cs="微软雅黑"/>
          <w:b w:val="0"/>
          <w:bCs w:val="0"/>
          <w:color w:val="auto"/>
          <w:kern w:val="0"/>
          <w:sz w:val="32"/>
          <w:szCs w:val="32"/>
          <w:highlight w:val="none"/>
          <w:lang w:val="en-US" w:eastAsia="zh-CN" w:bidi="ar-SA"/>
        </w:rPr>
        <w:t>~</w:t>
      </w:r>
      <w:r>
        <w:rPr>
          <w:rFonts w:hint="eastAsia" w:ascii="仿宋_GB2312" w:hAnsi="Helvetica" w:eastAsia="仿宋_GB2312" w:cs="Helvetica"/>
          <w:b w:val="0"/>
          <w:bCs w:val="0"/>
          <w:color w:val="auto"/>
          <w:kern w:val="0"/>
          <w:sz w:val="32"/>
          <w:szCs w:val="32"/>
          <w:highlight w:val="none"/>
          <w:lang w:val="en-US" w:eastAsia="zh-CN" w:bidi="ar-SA"/>
        </w:rPr>
        <w:t>20例,病种涵盖各亚专业病种的70%以上。</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通过管理病人,参加门、急诊工作和各种教学活动,完成规定的病种和基本技能操作数量,学习儿外科的专业理论知识,认真填报《住院医师规范化培训登记手册》,规范地书写病历,参加危重病人的抢救,参与见习/实习医生的临床教学工作,高年资住院医师指导低年资住院医师。</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基于进阶式、螺旋上升式培养模式构建需要,要求规律轮转,避免临时变更,建议第1年轮转普通外科、急诊外科和骨科,第2年轮转泌尿外科、新生儿外科、胸心外科和神经外科,第3年轮转其余各亚专科。</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3个月机动可在麻醉科、病理科、重症监护室(ICU)、影像科(含普通放射、CT、MR和超声)4个科目选转3个,每科1个月,共3个月,安排在上述33个月之后进行。</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strike w:val="0"/>
          <w:color w:val="auto"/>
          <w:kern w:val="0"/>
          <w:sz w:val="32"/>
          <w:szCs w:val="32"/>
          <w:highlight w:val="none"/>
          <w:u w:val="none"/>
          <w:lang w:val="en-US" w:eastAsia="zh-CN" w:bidi="ar-SA"/>
        </w:rPr>
      </w:pPr>
      <w:r>
        <w:rPr>
          <w:rFonts w:hint="eastAsia" w:ascii="仿宋_GB2312" w:hAnsi="Helvetica" w:eastAsia="仿宋_GB2312" w:cs="Helvetica"/>
          <w:b w:val="0"/>
          <w:bCs w:val="0"/>
          <w:strike w:val="0"/>
          <w:color w:val="auto"/>
          <w:kern w:val="0"/>
          <w:sz w:val="32"/>
          <w:szCs w:val="32"/>
          <w:highlight w:val="none"/>
          <w:u w:val="none"/>
          <w:lang w:val="en-US" w:eastAsia="zh-CN" w:bidi="ar-SA"/>
        </w:rPr>
        <w:t>轮转科室与时间安排,见表1。</w:t>
      </w:r>
    </w:p>
    <w:p>
      <w:pPr>
        <w:keepNext w:val="0"/>
        <w:keepLines w:val="0"/>
        <w:widowControl/>
        <w:suppressLineNumbers w:val="0"/>
        <w:autoSpaceDE w:val="0"/>
        <w:autoSpaceDN w:val="0"/>
        <w:adjustRightInd w:val="0"/>
        <w:snapToGrid w:val="0"/>
        <w:spacing w:line="560" w:lineRule="exact"/>
        <w:ind w:firstLine="640" w:firstLineChars="200"/>
        <w:jc w:val="left"/>
        <w:rPr>
          <w:rFonts w:hint="eastAsia" w:ascii="仿宋_GB2312" w:hAnsi="Helvetica" w:eastAsia="仿宋_GB2312" w:cs="Helvetica"/>
          <w:b w:val="0"/>
          <w:bCs w:val="0"/>
          <w:strike w:val="0"/>
          <w:color w:val="auto"/>
          <w:kern w:val="0"/>
          <w:sz w:val="32"/>
          <w:szCs w:val="32"/>
          <w:highlight w:val="none"/>
          <w:u w:val="none"/>
          <w:lang w:val="en-US" w:eastAsia="zh-CN" w:bidi="ar-SA"/>
        </w:rPr>
      </w:pPr>
    </w:p>
    <w:p>
      <w:pPr>
        <w:keepNext w:val="0"/>
        <w:keepLines w:val="0"/>
        <w:widowControl/>
        <w:suppressLineNumbers w:val="0"/>
        <w:ind w:firstLine="0" w:firstLineChars="0"/>
        <w:jc w:val="center"/>
        <w:rPr>
          <w:rFonts w:hint="eastAsia" w:ascii="方正小标宋简体" w:hAnsi="宋体" w:eastAsia="方正小标宋简体" w:cs="宋体"/>
          <w:b w:val="0"/>
          <w:bCs w:val="0"/>
          <w:color w:val="auto"/>
          <w:kern w:val="0"/>
          <w:sz w:val="24"/>
          <w:szCs w:val="24"/>
          <w:highlight w:val="none"/>
          <w:lang w:val="en-US" w:eastAsia="zh-CN" w:bidi="ar-SA"/>
        </w:rPr>
      </w:pPr>
      <w:r>
        <w:rPr>
          <w:rFonts w:hint="eastAsia" w:ascii="方正小标宋简体" w:hAnsi="宋体" w:eastAsia="方正小标宋简体" w:cs="宋体"/>
          <w:b w:val="0"/>
          <w:bCs w:val="0"/>
          <w:color w:val="auto"/>
          <w:kern w:val="0"/>
          <w:sz w:val="24"/>
          <w:szCs w:val="24"/>
          <w:highlight w:val="none"/>
          <w:lang w:val="en-US" w:eastAsia="zh-CN" w:bidi="ar-SA"/>
        </w:rPr>
        <w:t>表1  轮转科室与时间安排</w:t>
      </w:r>
    </w:p>
    <w:tbl>
      <w:tblPr>
        <w:tblStyle w:val="11"/>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6029"/>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214" w:type="pct"/>
            <w:gridSpan w:val="2"/>
            <w:tcBorders>
              <w:top w:val="single" w:color="auto" w:sz="8" w:space="0"/>
              <w:left w:val="nil"/>
              <w:bottom w:val="single" w:color="auto" w:sz="4" w:space="0"/>
              <w:right w:val="nil"/>
            </w:tcBorders>
            <w:vAlign w:val="top"/>
          </w:tcPr>
          <w:p>
            <w:pPr>
              <w:autoSpaceDE w:val="0"/>
              <w:autoSpaceDN w:val="0"/>
              <w:spacing w:before="0" w:line="240" w:lineRule="auto"/>
              <w:ind w:firstLine="1897" w:firstLineChars="900"/>
              <w:jc w:val="both"/>
              <w:rPr>
                <w:rFonts w:hint="eastAsia" w:ascii="黑体" w:hAnsi="黑体" w:eastAsia="黑体" w:cs="黑体"/>
                <w:b/>
                <w:color w:val="auto"/>
                <w:kern w:val="0"/>
                <w:position w:val="-2"/>
                <w:szCs w:val="21"/>
                <w:highlight w:val="none"/>
                <w:lang w:eastAsia="zh-Hans" w:bidi="ar"/>
              </w:rPr>
            </w:pPr>
            <w:r>
              <w:rPr>
                <w:rFonts w:hint="eastAsia" w:ascii="黑体" w:hAnsi="黑体" w:eastAsia="黑体" w:cs="黑体"/>
                <w:b/>
                <w:color w:val="auto"/>
                <w:kern w:val="0"/>
                <w:position w:val="-2"/>
                <w:szCs w:val="21"/>
                <w:highlight w:val="none"/>
                <w:lang w:eastAsia="zh-CN" w:bidi="ar"/>
              </w:rPr>
              <w:t>轮转科室</w:t>
            </w:r>
          </w:p>
        </w:tc>
        <w:tc>
          <w:tcPr>
            <w:tcW w:w="785" w:type="pct"/>
            <w:tcBorders>
              <w:top w:val="single" w:color="auto" w:sz="8" w:space="0"/>
              <w:left w:val="nil"/>
              <w:bottom w:val="single" w:color="auto" w:sz="4" w:space="0"/>
              <w:right w:val="nil"/>
            </w:tcBorders>
            <w:vAlign w:val="top"/>
          </w:tcPr>
          <w:p>
            <w:pPr>
              <w:autoSpaceDE w:val="0"/>
              <w:autoSpaceDN w:val="0"/>
              <w:spacing w:before="0" w:line="240" w:lineRule="auto"/>
              <w:ind w:right="0" w:rightChars="0"/>
              <w:jc w:val="center"/>
              <w:rPr>
                <w:rFonts w:hint="eastAsia" w:ascii="黑体" w:hAnsi="黑体" w:eastAsia="黑体" w:cs="黑体"/>
                <w:b/>
                <w:color w:val="auto"/>
                <w:kern w:val="0"/>
                <w:position w:val="-2"/>
                <w:szCs w:val="21"/>
                <w:highlight w:val="none"/>
                <w:lang w:eastAsia="zh-Hans" w:bidi="ar"/>
              </w:rPr>
            </w:pPr>
            <w:r>
              <w:rPr>
                <w:rFonts w:hint="eastAsia" w:ascii="黑体" w:hAnsi="黑体" w:eastAsia="黑体" w:cs="黑体"/>
                <w:b/>
                <w:color w:val="auto"/>
                <w:kern w:val="0"/>
                <w:position w:val="-2"/>
                <w:szCs w:val="21"/>
                <w:highlight w:val="none"/>
                <w:lang w:eastAsia="zh-CN" w:bidi="ar"/>
              </w:rPr>
              <w:t>时间（月）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84" w:type="pct"/>
            <w:tcBorders>
              <w:top w:val="single" w:color="auto" w:sz="4" w:space="0"/>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第1年</w:t>
            </w:r>
          </w:p>
        </w:tc>
        <w:tc>
          <w:tcPr>
            <w:tcW w:w="3429" w:type="pct"/>
            <w:tcBorders>
              <w:top w:val="single" w:color="auto" w:sz="4" w:space="0"/>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spacing w:val="0"/>
                <w:kern w:val="0"/>
                <w:szCs w:val="21"/>
                <w:highlight w:val="none"/>
                <w:lang w:val="en-US" w:eastAsia="zh-CN" w:bidi="ar"/>
              </w:rPr>
            </w:pPr>
            <w:r>
              <w:rPr>
                <w:rFonts w:hint="eastAsia" w:ascii="仿宋_GB2312" w:hAnsi="宋体" w:eastAsia="仿宋_GB2312" w:cs="宋体"/>
                <w:color w:val="auto"/>
                <w:spacing w:val="0"/>
                <w:kern w:val="0"/>
                <w:szCs w:val="21"/>
                <w:highlight w:val="none"/>
                <w:lang w:val="en-US" w:eastAsia="zh-CN" w:bidi="ar"/>
              </w:rPr>
              <w:t>普通外科（包括普通外科门诊和日间手术内容）</w:t>
            </w:r>
          </w:p>
        </w:tc>
        <w:tc>
          <w:tcPr>
            <w:tcW w:w="785" w:type="pct"/>
            <w:tcBorders>
              <w:top w:val="single" w:color="auto" w:sz="4" w:space="0"/>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84"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bidi="ar"/>
              </w:rPr>
            </w:pPr>
            <w:r>
              <w:rPr>
                <w:rFonts w:hint="eastAsia" w:ascii="仿宋_GB2312" w:hAnsi="宋体" w:eastAsia="仿宋_GB2312" w:cs="宋体"/>
                <w:color w:val="auto"/>
                <w:spacing w:val="0"/>
                <w:kern w:val="0"/>
                <w:szCs w:val="21"/>
                <w:highlight w:val="none"/>
                <w:lang w:bidi="ar"/>
              </w:rPr>
              <w:t xml:space="preserve"> </w:t>
            </w:r>
          </w:p>
        </w:tc>
        <w:tc>
          <w:tcPr>
            <w:tcW w:w="3429"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spacing w:val="0"/>
                <w:kern w:val="0"/>
                <w:szCs w:val="21"/>
                <w:highlight w:val="none"/>
                <w:lang w:val="en-US" w:eastAsia="zh-CN" w:bidi="ar"/>
              </w:rPr>
            </w:pPr>
            <w:r>
              <w:rPr>
                <w:rFonts w:hint="eastAsia" w:ascii="仿宋_GB2312" w:hAnsi="宋体" w:eastAsia="仿宋_GB2312" w:cs="宋体"/>
                <w:color w:val="auto"/>
                <w:spacing w:val="0"/>
                <w:kern w:val="0"/>
                <w:szCs w:val="21"/>
                <w:highlight w:val="none"/>
                <w:lang w:val="en-US" w:eastAsia="zh-CN" w:bidi="ar"/>
              </w:rPr>
              <w:t>急诊外科</w:t>
            </w:r>
          </w:p>
        </w:tc>
        <w:tc>
          <w:tcPr>
            <w:tcW w:w="785" w:type="pct"/>
            <w:tcBorders>
              <w:top w:val="nil"/>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eastAsia="zh-CN" w:bidi="ar"/>
              </w:rPr>
            </w:pPr>
            <w:r>
              <w:rPr>
                <w:rFonts w:hint="eastAsia" w:ascii="仿宋_GB2312" w:hAnsi="宋体" w:eastAsia="仿宋_GB2312" w:cs="宋体"/>
                <w:color w:val="auto"/>
                <w:kern w:val="0"/>
                <w:position w:val="0"/>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84"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bidi="ar"/>
              </w:rPr>
            </w:pPr>
          </w:p>
        </w:tc>
        <w:tc>
          <w:tcPr>
            <w:tcW w:w="3429"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spacing w:val="0"/>
                <w:kern w:val="0"/>
                <w:szCs w:val="21"/>
                <w:highlight w:val="none"/>
                <w:lang w:val="en-US" w:eastAsia="zh-CN" w:bidi="ar"/>
              </w:rPr>
            </w:pPr>
            <w:r>
              <w:rPr>
                <w:rFonts w:hint="eastAsia" w:ascii="仿宋_GB2312" w:hAnsi="宋体" w:eastAsia="仿宋_GB2312" w:cs="宋体"/>
                <w:color w:val="auto"/>
                <w:spacing w:val="0"/>
                <w:kern w:val="0"/>
                <w:szCs w:val="21"/>
                <w:highlight w:val="none"/>
                <w:lang w:val="en-US" w:eastAsia="zh-CN" w:bidi="ar"/>
              </w:rPr>
              <w:t>骨科</w:t>
            </w:r>
          </w:p>
        </w:tc>
        <w:tc>
          <w:tcPr>
            <w:tcW w:w="785" w:type="pct"/>
            <w:tcBorders>
              <w:top w:val="nil"/>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eastAsia="zh-CN" w:bidi="ar"/>
              </w:rPr>
            </w:pPr>
            <w:r>
              <w:rPr>
                <w:rFonts w:hint="eastAsia" w:ascii="仿宋_GB2312" w:hAnsi="宋体" w:eastAsia="仿宋_GB2312" w:cs="宋体"/>
                <w:color w:val="auto"/>
                <w:kern w:val="0"/>
                <w:position w:val="0"/>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84"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第2、3年</w:t>
            </w:r>
          </w:p>
        </w:tc>
        <w:tc>
          <w:tcPr>
            <w:tcW w:w="3429"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spacing w:val="0"/>
                <w:kern w:val="0"/>
                <w:szCs w:val="21"/>
                <w:highlight w:val="none"/>
                <w:lang w:val="en-US" w:eastAsia="zh-CN" w:bidi="ar"/>
              </w:rPr>
              <w:t>泌尿外科</w:t>
            </w:r>
          </w:p>
        </w:tc>
        <w:tc>
          <w:tcPr>
            <w:tcW w:w="785" w:type="pct"/>
            <w:tcBorders>
              <w:top w:val="nil"/>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84"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eastAsia="zh-CN" w:bidi="ar"/>
              </w:rPr>
            </w:pPr>
          </w:p>
        </w:tc>
        <w:tc>
          <w:tcPr>
            <w:tcW w:w="3429"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spacing w:val="0"/>
                <w:kern w:val="0"/>
                <w:szCs w:val="21"/>
                <w:highlight w:val="none"/>
                <w:lang w:val="en-US" w:eastAsia="zh-CN" w:bidi="ar"/>
              </w:rPr>
            </w:pPr>
            <w:r>
              <w:rPr>
                <w:rFonts w:hint="eastAsia" w:ascii="仿宋_GB2312" w:hAnsi="宋体" w:eastAsia="仿宋_GB2312" w:cs="宋体"/>
                <w:color w:val="auto"/>
                <w:spacing w:val="0"/>
                <w:kern w:val="0"/>
                <w:szCs w:val="21"/>
                <w:highlight w:val="none"/>
                <w:lang w:val="en-US" w:eastAsia="zh-CN" w:bidi="ar"/>
              </w:rPr>
              <w:t>胸心外科（分别设置心脏外科和胸外科的基地选转其一）</w:t>
            </w:r>
          </w:p>
        </w:tc>
        <w:tc>
          <w:tcPr>
            <w:tcW w:w="785" w:type="pct"/>
            <w:tcBorders>
              <w:top w:val="nil"/>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84"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bidi="ar"/>
              </w:rPr>
            </w:pPr>
          </w:p>
        </w:tc>
        <w:tc>
          <w:tcPr>
            <w:tcW w:w="3429"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spacing w:val="0"/>
                <w:kern w:val="0"/>
                <w:szCs w:val="21"/>
                <w:highlight w:val="none"/>
                <w:lang w:val="en-US" w:eastAsia="zh-CN" w:bidi="ar"/>
              </w:rPr>
            </w:pPr>
            <w:r>
              <w:rPr>
                <w:rFonts w:hint="eastAsia" w:ascii="仿宋_GB2312" w:hAnsi="宋体" w:eastAsia="仿宋_GB2312" w:cs="宋体"/>
                <w:color w:val="auto"/>
                <w:spacing w:val="0"/>
                <w:kern w:val="0"/>
                <w:szCs w:val="21"/>
                <w:highlight w:val="none"/>
                <w:lang w:val="en-US" w:eastAsia="zh-CN" w:bidi="ar"/>
              </w:rPr>
              <w:t>新生儿外科</w:t>
            </w:r>
          </w:p>
        </w:tc>
        <w:tc>
          <w:tcPr>
            <w:tcW w:w="785" w:type="pct"/>
            <w:tcBorders>
              <w:top w:val="nil"/>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4"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bidi="ar"/>
              </w:rPr>
            </w:pPr>
          </w:p>
        </w:tc>
        <w:tc>
          <w:tcPr>
            <w:tcW w:w="3429"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spacing w:val="0"/>
                <w:kern w:val="0"/>
                <w:szCs w:val="21"/>
                <w:highlight w:val="none"/>
                <w:lang w:val="en-US" w:eastAsia="zh-CN" w:bidi="ar"/>
              </w:rPr>
            </w:pPr>
            <w:r>
              <w:rPr>
                <w:rFonts w:hint="eastAsia" w:ascii="仿宋_GB2312" w:hAnsi="宋体" w:eastAsia="仿宋_GB2312" w:cs="宋体"/>
                <w:color w:val="auto"/>
                <w:spacing w:val="0"/>
                <w:kern w:val="0"/>
                <w:szCs w:val="21"/>
                <w:highlight w:val="none"/>
                <w:lang w:val="en-US" w:eastAsia="zh-CN" w:bidi="ar"/>
              </w:rPr>
              <w:t>肿瘤外科</w:t>
            </w:r>
          </w:p>
        </w:tc>
        <w:tc>
          <w:tcPr>
            <w:tcW w:w="785" w:type="pct"/>
            <w:tcBorders>
              <w:top w:val="nil"/>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84"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bidi="ar"/>
              </w:rPr>
            </w:pPr>
          </w:p>
        </w:tc>
        <w:tc>
          <w:tcPr>
            <w:tcW w:w="3429"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神经外科</w:t>
            </w:r>
          </w:p>
        </w:tc>
        <w:tc>
          <w:tcPr>
            <w:tcW w:w="785" w:type="pct"/>
            <w:tcBorders>
              <w:top w:val="nil"/>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84"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bidi="ar"/>
              </w:rPr>
            </w:pPr>
          </w:p>
        </w:tc>
        <w:tc>
          <w:tcPr>
            <w:tcW w:w="3429" w:type="pct"/>
            <w:tcBorders>
              <w:top w:val="nil"/>
              <w:left w:val="nil"/>
              <w:bottom w:val="nil"/>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烧伤整形外科（没有独立设置烧伤整形外科的基地纳入普通外科）</w:t>
            </w:r>
          </w:p>
        </w:tc>
        <w:tc>
          <w:tcPr>
            <w:tcW w:w="785" w:type="pct"/>
            <w:tcBorders>
              <w:top w:val="nil"/>
              <w:left w:val="nil"/>
              <w:bottom w:val="nil"/>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84" w:type="pct"/>
            <w:tcBorders>
              <w:top w:val="nil"/>
              <w:left w:val="nil"/>
              <w:bottom w:val="single" w:color="auto" w:sz="4" w:space="0"/>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bidi="ar"/>
              </w:rPr>
            </w:pPr>
          </w:p>
        </w:tc>
        <w:tc>
          <w:tcPr>
            <w:tcW w:w="3429" w:type="pct"/>
            <w:tcBorders>
              <w:top w:val="nil"/>
              <w:left w:val="nil"/>
              <w:bottom w:val="single" w:color="auto" w:sz="4" w:space="0"/>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机动</w:t>
            </w:r>
          </w:p>
        </w:tc>
        <w:tc>
          <w:tcPr>
            <w:tcW w:w="785" w:type="pct"/>
            <w:tcBorders>
              <w:top w:val="nil"/>
              <w:left w:val="nil"/>
              <w:bottom w:val="single" w:color="auto" w:sz="4" w:space="0"/>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784" w:type="pct"/>
            <w:tcBorders>
              <w:top w:val="single" w:color="auto" w:sz="4" w:space="0"/>
              <w:left w:val="nil"/>
              <w:bottom w:val="single" w:color="auto" w:sz="8" w:space="0"/>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bidi="ar"/>
              </w:rPr>
            </w:pPr>
          </w:p>
        </w:tc>
        <w:tc>
          <w:tcPr>
            <w:tcW w:w="3429" w:type="pct"/>
            <w:tcBorders>
              <w:top w:val="single" w:color="auto" w:sz="4" w:space="0"/>
              <w:left w:val="nil"/>
              <w:bottom w:val="single" w:color="auto" w:sz="8" w:space="0"/>
              <w:right w:val="nil"/>
            </w:tcBorders>
            <w:vAlign w:val="top"/>
          </w:tcPr>
          <w:p>
            <w:pPr>
              <w:widowControl/>
              <w:autoSpaceDE/>
              <w:autoSpaceDN/>
              <w:spacing w:before="0" w:line="240" w:lineRule="auto"/>
              <w:ind w:right="233" w:rightChars="111"/>
              <w:jc w:val="left"/>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合计</w:t>
            </w:r>
          </w:p>
        </w:tc>
        <w:tc>
          <w:tcPr>
            <w:tcW w:w="785" w:type="pct"/>
            <w:tcBorders>
              <w:top w:val="single" w:color="auto" w:sz="4" w:space="0"/>
              <w:left w:val="nil"/>
              <w:bottom w:val="single" w:color="auto" w:sz="8" w:space="0"/>
              <w:right w:val="nil"/>
            </w:tcBorders>
            <w:vAlign w:val="top"/>
          </w:tcPr>
          <w:p>
            <w:pPr>
              <w:widowControl/>
              <w:autoSpaceDE/>
              <w:autoSpaceDN/>
              <w:spacing w:before="0"/>
              <w:ind w:right="233" w:rightChars="111"/>
              <w:jc w:val="center"/>
              <w:rPr>
                <w:rFonts w:hint="eastAsia" w:ascii="仿宋_GB2312" w:hAnsi="宋体" w:eastAsia="仿宋_GB2312" w:cs="宋体"/>
                <w:color w:val="auto"/>
                <w:kern w:val="0"/>
                <w:position w:val="0"/>
                <w:szCs w:val="21"/>
                <w:highlight w:val="none"/>
                <w:lang w:val="en-US" w:eastAsia="zh-CN" w:bidi="ar"/>
              </w:rPr>
            </w:pPr>
            <w:r>
              <w:rPr>
                <w:rFonts w:hint="eastAsia" w:ascii="仿宋_GB2312" w:hAnsi="宋体" w:eastAsia="仿宋_GB2312" w:cs="宋体"/>
                <w:color w:val="auto"/>
                <w:kern w:val="0"/>
                <w:position w:val="0"/>
                <w:szCs w:val="21"/>
                <w:highlight w:val="none"/>
                <w:lang w:val="en-US" w:eastAsia="zh-CN" w:bidi="ar"/>
              </w:rPr>
              <w:t>36</w:t>
            </w:r>
          </w:p>
        </w:tc>
      </w:tr>
    </w:tbl>
    <w:p>
      <w:pPr>
        <w:keepNext w:val="0"/>
        <w:keepLines w:val="0"/>
        <w:widowControl/>
        <w:suppressLineNumbers w:val="0"/>
        <w:ind w:firstLine="560" w:firstLineChars="200"/>
        <w:jc w:val="left"/>
        <w:rPr>
          <w:rFonts w:hint="default" w:ascii="仿宋_GB2312" w:hAnsi="宋体" w:eastAsia="仿宋_GB2312" w:cs="Times New Roman"/>
          <w:b w:val="0"/>
          <w:bCs w:val="0"/>
          <w:color w:val="auto"/>
          <w:kern w:val="2"/>
          <w:sz w:val="28"/>
          <w:szCs w:val="28"/>
          <w:highlight w:val="none"/>
          <w:lang w:val="en-US" w:eastAsia="zh-CN" w:bidi="ar-SA"/>
        </w:rPr>
      </w:pPr>
    </w:p>
    <w:p>
      <w:pPr>
        <w:widowControl/>
        <w:numPr>
          <w:ilvl w:val="-1"/>
          <w:numId w:val="0"/>
        </w:numPr>
        <w:spacing w:line="560" w:lineRule="exact"/>
        <w:ind w:left="0" w:firstLine="640" w:firstLineChars="200"/>
        <w:jc w:val="both"/>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color w:val="auto"/>
          <w:sz w:val="32"/>
          <w:szCs w:val="32"/>
          <w:highlight w:val="none"/>
          <w:lang w:val="en-US" w:eastAsia="zh-CN"/>
        </w:rPr>
        <w:t>3.</w:t>
      </w:r>
      <w:r>
        <w:rPr>
          <w:rFonts w:hint="eastAsia" w:ascii="仿宋_GB2312" w:hAnsi="宋体" w:eastAsia="仿宋_GB2312" w:cs="Times New Roman"/>
          <w:color w:val="auto"/>
          <w:sz w:val="32"/>
          <w:szCs w:val="32"/>
          <w:highlight w:val="none"/>
        </w:rPr>
        <w:t>培训内容与要求</w:t>
      </w:r>
    </w:p>
    <w:p>
      <w:pPr>
        <w:numPr>
          <w:ilvl w:val="0"/>
          <w:numId w:val="0"/>
        </w:numPr>
        <w:autoSpaceDE w:val="0"/>
        <w:autoSpaceDN w:val="0"/>
        <w:adjustRightInd w:val="0"/>
        <w:snapToGrid w:val="0"/>
        <w:spacing w:line="560" w:lineRule="exact"/>
        <w:ind w:firstLine="640" w:firstLineChars="200"/>
        <w:jc w:val="both"/>
        <w:rPr>
          <w:rFonts w:hint="eastAsia" w:ascii="仿宋_GB2312" w:hAnsi="宋体" w:eastAsia="仿宋_GB2312" w:cs="Times New Roman"/>
          <w:color w:val="auto"/>
          <w:sz w:val="32"/>
          <w:szCs w:val="32"/>
          <w:highlight w:val="none"/>
        </w:rPr>
      </w:pPr>
      <w:r>
        <w:rPr>
          <w:rFonts w:hint="eastAsia" w:ascii="仿宋_GB2312" w:hAnsi="宋体" w:eastAsia="仿宋_GB2312" w:cs="Times New Roman"/>
          <w:b w:val="0"/>
          <w:bCs w:val="0"/>
          <w:color w:val="auto"/>
          <w:kern w:val="2"/>
          <w:sz w:val="32"/>
          <w:szCs w:val="32"/>
          <w:highlight w:val="none"/>
          <w:lang w:val="en-US" w:eastAsia="zh-CN" w:bidi="ar-SA"/>
        </w:rPr>
        <w:t>（1）急诊外科(4个月,急诊外科未独立设置的基地可轮转普通外科)</w:t>
      </w:r>
    </w:p>
    <w:p>
      <w:pPr>
        <w:autoSpaceDE w:val="0"/>
        <w:autoSpaceDN w:val="0"/>
        <w:adjustRightInd w:val="0"/>
        <w:snapToGrid w:val="0"/>
        <w:spacing w:line="560" w:lineRule="exact"/>
        <w:ind w:left="0" w:firstLine="640" w:firstLineChars="200"/>
        <w:jc w:val="both"/>
        <w:rPr>
          <w:rFonts w:hint="eastAsia" w:ascii="仿宋_GB2312" w:hAnsi="宋体" w:eastAsia="仿宋_GB2312" w:cs="Times New Roman"/>
          <w:b w:val="0"/>
          <w:bCs w:val="0"/>
          <w:color w:val="auto"/>
          <w:sz w:val="32"/>
          <w:szCs w:val="32"/>
          <w:highlight w:val="none"/>
        </w:rPr>
      </w:pPr>
      <w:r>
        <w:rPr>
          <w:rFonts w:hint="eastAsia" w:ascii="仿宋_GB2312" w:hAnsi="宋体" w:eastAsia="仿宋_GB2312" w:cs="Times New Roman"/>
          <w:b w:val="0"/>
          <w:bCs w:val="0"/>
          <w:color w:val="auto"/>
          <w:sz w:val="32"/>
          <w:szCs w:val="32"/>
          <w:highlight w:val="none"/>
          <w:lang w:val="en-US" w:eastAsia="zh-CN"/>
        </w:rPr>
        <w:t>1）</w:t>
      </w:r>
      <w:r>
        <w:rPr>
          <w:rFonts w:hint="eastAsia" w:ascii="仿宋_GB2312" w:hAnsi="宋体" w:eastAsia="仿宋_GB2312" w:cs="Times New Roman"/>
          <w:b w:val="0"/>
          <w:bCs w:val="0"/>
          <w:color w:val="auto"/>
          <w:sz w:val="32"/>
          <w:szCs w:val="32"/>
          <w:highlight w:val="none"/>
        </w:rPr>
        <w:t>轮转目的</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掌握：消毒与无菌技术、外科患儿的体检特点、儿外科液体疗法与水电解质平衡、外科休克、多器官功能障碍、创伤、外科感染、心肺复苏、外科输血、术前准备和术后处理原则等基础知识及基本理论;外科换药技术,外科手术切开、显露、缝合、结扎、止血等技术。</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熟悉：小儿急症各种常见病多发病(创伤、感染、急腹症)的发病机制、临床特点、诊断与鉴别诊断要点、治疗原则及随访规范;外科基本用药;外科常用的诊疗操作技术,如导尿、拆线、胃肠减压、静脉穿刺、静脉切开、脓肿穿刺及引流、直肠指检、灌肠、洗肠。</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了解：腹腔镜手术基本理论;儿外科危重病人的抢救原则。儿外科营养支持疗法,包括肠外营养、肠内营养的基本原理;急诊外科特殊诊断方法和技术,如腹腔穿刺术、耻骨上膀胱穿刺术、嵌顿疝手法复位、X线透视下气灌肠肠套叠复位等。</w:t>
      </w:r>
    </w:p>
    <w:p>
      <w:pPr>
        <w:widowControl/>
        <w:autoSpaceDE w:val="0"/>
        <w:autoSpaceDN w:val="0"/>
        <w:adjustRightInd w:val="0"/>
        <w:snapToGrid w:val="0"/>
        <w:spacing w:line="560" w:lineRule="exact"/>
        <w:ind w:left="0"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2</w:t>
      </w:r>
      <w:r>
        <w:rPr>
          <w:rFonts w:hint="eastAsia" w:ascii="仿宋_GB2312" w:hAnsi="Helvetica" w:eastAsia="仿宋_GB2312" w:cs="Helvetica"/>
          <w:b w:val="0"/>
          <w:bCs w:val="0"/>
          <w:color w:val="auto"/>
          <w:kern w:val="0"/>
          <w:sz w:val="32"/>
          <w:szCs w:val="32"/>
          <w:highlight w:val="none"/>
          <w:lang w:eastAsia="zh-CN"/>
        </w:rPr>
        <w:t>）</w:t>
      </w:r>
      <w:r>
        <w:rPr>
          <w:rFonts w:hint="eastAsia" w:ascii="仿宋_GB2312" w:hAnsi="Helvetica" w:eastAsia="仿宋_GB2312" w:cs="Helvetica"/>
          <w:b w:val="0"/>
          <w:bCs w:val="0"/>
          <w:color w:val="auto"/>
          <w:kern w:val="0"/>
          <w:sz w:val="32"/>
          <w:szCs w:val="32"/>
          <w:highlight w:val="none"/>
        </w:rPr>
        <w:t>基本要求</w:t>
      </w:r>
    </w:p>
    <w:p>
      <w:pPr>
        <w:widowControl/>
        <w:numPr>
          <w:ilvl w:val="-1"/>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①病种及例数要求</w:t>
      </w:r>
      <w:r>
        <w:rPr>
          <w:rFonts w:hint="eastAsia" w:ascii="仿宋_GB2312" w:hAnsi="Helvetica" w:eastAsia="仿宋_GB2312" w:cs="Helvetica"/>
          <w:color w:val="auto"/>
          <w:kern w:val="0"/>
          <w:sz w:val="32"/>
          <w:szCs w:val="32"/>
          <w:highlight w:val="none"/>
          <w:lang w:val="en-US" w:eastAsia="zh-CN"/>
        </w:rPr>
        <w:t>见表2。</w:t>
      </w:r>
    </w:p>
    <w:p>
      <w:pPr>
        <w:widowControl/>
        <w:numPr>
          <w:ilvl w:val="-1"/>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p>
    <w:p>
      <w:pPr>
        <w:widowControl/>
        <w:numPr>
          <w:ilvl w:val="-1"/>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rPr>
      </w:pPr>
      <w:r>
        <w:rPr>
          <w:rFonts w:hint="eastAsia" w:ascii="方正小标宋简体" w:hAnsi="宋体" w:eastAsia="方正小标宋简体" w:cs="宋体"/>
          <w:color w:val="auto"/>
          <w:kern w:val="0"/>
          <w:sz w:val="24"/>
          <w:szCs w:val="24"/>
          <w:highlight w:val="none"/>
          <w:lang w:val="en-US" w:eastAsia="zh-CN"/>
        </w:rPr>
        <w:t xml:space="preserve">表2  </w:t>
      </w:r>
      <w:r>
        <w:rPr>
          <w:rFonts w:hint="eastAsia" w:ascii="方正小标宋简体" w:hAnsi="宋体" w:eastAsia="方正小标宋简体" w:cs="宋体"/>
          <w:color w:val="auto"/>
          <w:kern w:val="0"/>
          <w:sz w:val="24"/>
          <w:szCs w:val="24"/>
          <w:highlight w:val="none"/>
        </w:rPr>
        <w:t>病种及例数要求</w:t>
      </w:r>
    </w:p>
    <w:tbl>
      <w:tblPr>
        <w:tblStyle w:val="11"/>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1"/>
        <w:gridCol w:w="1171"/>
        <w:gridCol w:w="3052"/>
        <w:gridCol w:w="104"/>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29" w:type="pct"/>
            <w:tcBorders>
              <w:top w:val="single" w:color="auto" w:sz="8" w:space="0"/>
              <w:left w:val="nil"/>
              <w:bottom w:val="single" w:color="auto" w:sz="4" w:space="0"/>
              <w:right w:val="nil"/>
            </w:tcBorders>
            <w:vAlign w:val="center"/>
          </w:tcPr>
          <w:p>
            <w:pPr>
              <w:autoSpaceDE w:val="0"/>
              <w:autoSpaceDN w:val="0"/>
              <w:spacing w:line="240" w:lineRule="auto"/>
              <w:ind w:firstLine="422" w:firstLineChars="200"/>
              <w:jc w:val="both"/>
              <w:rPr>
                <w:rFonts w:hint="eastAsia" w:ascii="黑体" w:hAnsi="黑体" w:eastAsia="黑体" w:cs="黑体"/>
                <w:b/>
                <w:color w:val="auto"/>
                <w:kern w:val="0"/>
                <w:position w:val="-2"/>
                <w:szCs w:val="21"/>
                <w:highlight w:val="none"/>
                <w:lang w:eastAsia="zh-Hans" w:bidi="ar"/>
              </w:rPr>
            </w:pPr>
            <w:r>
              <w:rPr>
                <w:rFonts w:hint="eastAsia" w:ascii="黑体" w:hAnsi="黑体" w:eastAsia="黑体" w:cs="黑体"/>
                <w:b/>
                <w:color w:val="auto"/>
                <w:kern w:val="0"/>
                <w:position w:val="-2"/>
                <w:szCs w:val="21"/>
                <w:highlight w:val="none"/>
                <w:lang w:eastAsia="zh-Hans" w:bidi="ar"/>
              </w:rPr>
              <w:t>病种</w:t>
            </w:r>
          </w:p>
        </w:tc>
        <w:tc>
          <w:tcPr>
            <w:tcW w:w="666" w:type="pct"/>
            <w:tcBorders>
              <w:top w:val="single" w:color="auto" w:sz="8" w:space="0"/>
              <w:left w:val="nil"/>
              <w:bottom w:val="single" w:color="auto" w:sz="4" w:space="0"/>
              <w:right w:val="double" w:color="auto" w:sz="4" w:space="0"/>
            </w:tcBorders>
            <w:vAlign w:val="center"/>
          </w:tcPr>
          <w:p>
            <w:pPr>
              <w:autoSpaceDE w:val="0"/>
              <w:autoSpaceDN w:val="0"/>
              <w:spacing w:line="240" w:lineRule="auto"/>
              <w:jc w:val="both"/>
              <w:rPr>
                <w:rFonts w:ascii="黑体" w:hAnsi="黑体" w:eastAsia="黑体" w:cs="黑体"/>
                <w:b/>
                <w:color w:val="auto"/>
                <w:kern w:val="0"/>
                <w:position w:val="-2"/>
                <w:szCs w:val="21"/>
                <w:highlight w:val="none"/>
                <w:lang w:eastAsia="zh-Hans" w:bidi="ar"/>
              </w:rPr>
            </w:pPr>
            <w:bookmarkStart w:id="0" w:name="OLE_LINK1"/>
            <w:r>
              <w:rPr>
                <w:rFonts w:hint="eastAsia" w:ascii="黑体" w:hAnsi="黑体" w:eastAsia="黑体" w:cs="黑体"/>
                <w:b/>
                <w:color w:val="auto"/>
                <w:kern w:val="0"/>
                <w:position w:val="-2"/>
                <w:szCs w:val="21"/>
                <w:highlight w:val="none"/>
                <w:lang w:eastAsia="zh-Hans" w:bidi="ar"/>
              </w:rPr>
              <w:t>最低例数</w:t>
            </w:r>
            <w:bookmarkEnd w:id="0"/>
          </w:p>
        </w:tc>
        <w:tc>
          <w:tcPr>
            <w:tcW w:w="1736" w:type="pct"/>
            <w:tcBorders>
              <w:top w:val="single" w:color="auto" w:sz="8" w:space="0"/>
              <w:left w:val="double" w:color="auto" w:sz="4" w:space="0"/>
              <w:bottom w:val="single" w:color="auto" w:sz="4" w:space="0"/>
              <w:right w:val="nil"/>
            </w:tcBorders>
            <w:vAlign w:val="center"/>
          </w:tcPr>
          <w:p>
            <w:pPr>
              <w:autoSpaceDE w:val="0"/>
              <w:autoSpaceDN w:val="0"/>
              <w:spacing w:line="240" w:lineRule="auto"/>
              <w:ind w:firstLine="422" w:firstLineChars="200"/>
              <w:jc w:val="both"/>
              <w:rPr>
                <w:rFonts w:hint="eastAsia" w:ascii="黑体" w:hAnsi="黑体" w:eastAsia="黑体" w:cs="黑体"/>
                <w:b/>
                <w:color w:val="auto"/>
                <w:kern w:val="0"/>
                <w:position w:val="-2"/>
                <w:szCs w:val="21"/>
                <w:highlight w:val="none"/>
                <w:lang w:eastAsia="zh-Hans" w:bidi="ar"/>
              </w:rPr>
            </w:pPr>
            <w:r>
              <w:rPr>
                <w:rFonts w:hint="eastAsia" w:ascii="黑体" w:hAnsi="黑体" w:eastAsia="黑体" w:cs="黑体"/>
                <w:b/>
                <w:color w:val="auto"/>
                <w:kern w:val="0"/>
                <w:position w:val="-2"/>
                <w:szCs w:val="21"/>
                <w:highlight w:val="none"/>
                <w:lang w:eastAsia="zh-Hans" w:bidi="ar"/>
              </w:rPr>
              <w:t>病种</w:t>
            </w:r>
          </w:p>
        </w:tc>
        <w:tc>
          <w:tcPr>
            <w:tcW w:w="667" w:type="pct"/>
            <w:gridSpan w:val="2"/>
            <w:tcBorders>
              <w:top w:val="single" w:color="auto" w:sz="8" w:space="0"/>
              <w:left w:val="nil"/>
              <w:bottom w:val="single" w:color="auto" w:sz="4" w:space="0"/>
              <w:right w:val="nil"/>
            </w:tcBorders>
            <w:vAlign w:val="center"/>
          </w:tcPr>
          <w:p>
            <w:pPr>
              <w:autoSpaceDE w:val="0"/>
              <w:autoSpaceDN w:val="0"/>
              <w:spacing w:line="240" w:lineRule="auto"/>
              <w:jc w:val="center"/>
              <w:rPr>
                <w:rFonts w:hint="eastAsia" w:ascii="黑体" w:hAnsi="黑体" w:eastAsia="黑体" w:cs="黑体"/>
                <w:b/>
                <w:color w:val="auto"/>
                <w:kern w:val="0"/>
                <w:position w:val="-2"/>
                <w:szCs w:val="21"/>
                <w:highlight w:val="none"/>
                <w:lang w:eastAsia="zh-Hans" w:bidi="ar"/>
              </w:rPr>
            </w:pPr>
            <w:r>
              <w:rPr>
                <w:rFonts w:hint="eastAsia" w:ascii="黑体" w:hAnsi="黑体" w:eastAsia="黑体" w:cs="黑体"/>
                <w:b/>
                <w:color w:val="auto"/>
                <w:kern w:val="0"/>
                <w:position w:val="-2"/>
                <w:szCs w:val="21"/>
                <w:highlight w:val="none"/>
                <w:lang w:eastAsia="zh-Hans" w:bidi="ar"/>
              </w:rPr>
              <w:t>最低例数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929" w:type="pct"/>
            <w:tcBorders>
              <w:top w:val="single" w:color="auto" w:sz="4" w:space="0"/>
              <w:left w:val="nil"/>
              <w:bottom w:val="nil"/>
              <w:right w:val="nil"/>
            </w:tcBorders>
            <w:vAlign w:val="center"/>
          </w:tcPr>
          <w:p>
            <w:pPr>
              <w:pStyle w:val="3"/>
              <w:tabs>
                <w:tab w:val="left" w:pos="7140"/>
                <w:tab w:val="left" w:pos="7560"/>
                <w:tab w:val="left" w:pos="7980"/>
              </w:tabs>
              <w:spacing w:line="240" w:lineRule="auto"/>
              <w:ind w:left="0"/>
              <w:jc w:val="both"/>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急性阑尾炎</w:t>
            </w:r>
          </w:p>
        </w:tc>
        <w:tc>
          <w:tcPr>
            <w:tcW w:w="666" w:type="pct"/>
            <w:tcBorders>
              <w:top w:val="single" w:color="auto" w:sz="4" w:space="0"/>
              <w:left w:val="nil"/>
              <w:bottom w:val="nil"/>
              <w:right w:val="double" w:color="auto" w:sz="4" w:space="0"/>
            </w:tcBorders>
            <w:vAlign w:val="center"/>
          </w:tcPr>
          <w:p>
            <w:pPr>
              <w:pStyle w:val="3"/>
              <w:tabs>
                <w:tab w:val="left" w:pos="630"/>
                <w:tab w:val="left" w:pos="7140"/>
                <w:tab w:val="left" w:pos="7560"/>
                <w:tab w:val="left" w:pos="7980"/>
              </w:tabs>
              <w:spacing w:line="240" w:lineRule="auto"/>
              <w:ind w:left="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10</w:t>
            </w:r>
          </w:p>
        </w:tc>
        <w:tc>
          <w:tcPr>
            <w:tcW w:w="1736" w:type="pct"/>
            <w:tcBorders>
              <w:top w:val="single" w:color="auto" w:sz="4" w:space="0"/>
              <w:left w:val="double" w:color="auto" w:sz="4" w:space="0"/>
              <w:bottom w:val="nil"/>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软组织感染</w:t>
            </w:r>
          </w:p>
        </w:tc>
        <w:tc>
          <w:tcPr>
            <w:tcW w:w="667" w:type="pct"/>
            <w:gridSpan w:val="2"/>
            <w:tcBorders>
              <w:top w:val="single" w:color="auto" w:sz="4" w:space="0"/>
              <w:left w:val="nil"/>
              <w:bottom w:val="nil"/>
              <w:right w:val="nil"/>
            </w:tcBorders>
            <w:vAlign w:val="center"/>
          </w:tcPr>
          <w:p>
            <w:pPr>
              <w:pStyle w:val="3"/>
              <w:tabs>
                <w:tab w:val="left" w:pos="630"/>
                <w:tab w:val="left" w:pos="7140"/>
                <w:tab w:val="left" w:pos="7560"/>
                <w:tab w:val="left" w:pos="7980"/>
              </w:tabs>
              <w:spacing w:line="240" w:lineRule="auto"/>
              <w:ind w:left="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929" w:type="pct"/>
            <w:tcBorders>
              <w:top w:val="nil"/>
              <w:left w:val="nil"/>
              <w:bottom w:val="nil"/>
              <w:right w:val="nil"/>
            </w:tcBorders>
            <w:vAlign w:val="center"/>
          </w:tcPr>
          <w:p>
            <w:pPr>
              <w:pStyle w:val="3"/>
              <w:tabs>
                <w:tab w:val="left" w:pos="7140"/>
                <w:tab w:val="left" w:pos="7560"/>
                <w:tab w:val="left" w:pos="7980"/>
              </w:tabs>
              <w:spacing w:line="240" w:lineRule="auto"/>
              <w:ind w:left="0"/>
              <w:jc w:val="both"/>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kern w:val="0"/>
                <w:sz w:val="21"/>
                <w:szCs w:val="21"/>
                <w:highlight w:val="none"/>
                <w:lang w:val="en-US" w:eastAsia="zh-CN" w:bidi="ar"/>
              </w:rPr>
              <w:t>肠梗阻</w:t>
            </w:r>
          </w:p>
        </w:tc>
        <w:tc>
          <w:tcPr>
            <w:tcW w:w="666" w:type="pct"/>
            <w:tcBorders>
              <w:top w:val="nil"/>
              <w:left w:val="nil"/>
              <w:bottom w:val="nil"/>
              <w:right w:val="double" w:color="auto" w:sz="4" w:space="0"/>
            </w:tcBorders>
            <w:vAlign w:val="center"/>
          </w:tcPr>
          <w:p>
            <w:pPr>
              <w:pStyle w:val="3"/>
              <w:tabs>
                <w:tab w:val="left" w:pos="630"/>
                <w:tab w:val="left" w:pos="7140"/>
                <w:tab w:val="left" w:pos="7560"/>
                <w:tab w:val="left" w:pos="7980"/>
              </w:tabs>
              <w:spacing w:line="240" w:lineRule="auto"/>
              <w:ind w:left="0"/>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5</w:t>
            </w:r>
          </w:p>
        </w:tc>
        <w:tc>
          <w:tcPr>
            <w:tcW w:w="1736" w:type="pct"/>
            <w:tcBorders>
              <w:top w:val="nil"/>
              <w:left w:val="double" w:color="auto" w:sz="4" w:space="0"/>
              <w:bottom w:val="nil"/>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消化道穿孔</w:t>
            </w:r>
          </w:p>
        </w:tc>
        <w:tc>
          <w:tcPr>
            <w:tcW w:w="667" w:type="pct"/>
            <w:gridSpan w:val="2"/>
            <w:tcBorders>
              <w:top w:val="nil"/>
              <w:left w:val="nil"/>
              <w:bottom w:val="nil"/>
              <w:right w:val="nil"/>
            </w:tcBorders>
            <w:vAlign w:val="center"/>
          </w:tcPr>
          <w:p>
            <w:pPr>
              <w:pStyle w:val="3"/>
              <w:tabs>
                <w:tab w:val="left" w:pos="630"/>
                <w:tab w:val="left" w:pos="7140"/>
                <w:tab w:val="left" w:pos="7560"/>
                <w:tab w:val="left" w:pos="7980"/>
              </w:tabs>
              <w:spacing w:line="240" w:lineRule="auto"/>
              <w:ind w:left="0"/>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929" w:type="pct"/>
            <w:tcBorders>
              <w:top w:val="nil"/>
              <w:left w:val="nil"/>
              <w:bottom w:val="nil"/>
              <w:right w:val="nil"/>
            </w:tcBorders>
            <w:vAlign w:val="center"/>
          </w:tcPr>
          <w:p>
            <w:pPr>
              <w:pStyle w:val="3"/>
              <w:tabs>
                <w:tab w:val="left" w:pos="7140"/>
                <w:tab w:val="left" w:pos="7560"/>
                <w:tab w:val="left" w:pos="7980"/>
              </w:tabs>
              <w:spacing w:line="240" w:lineRule="auto"/>
              <w:ind w:left="0"/>
              <w:jc w:val="both"/>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胰腺炎</w:t>
            </w:r>
          </w:p>
        </w:tc>
        <w:tc>
          <w:tcPr>
            <w:tcW w:w="666" w:type="pct"/>
            <w:tcBorders>
              <w:top w:val="nil"/>
              <w:left w:val="nil"/>
              <w:bottom w:val="nil"/>
              <w:right w:val="double" w:color="auto" w:sz="4" w:space="0"/>
            </w:tcBorders>
            <w:vAlign w:val="center"/>
          </w:tcPr>
          <w:p>
            <w:pPr>
              <w:pStyle w:val="3"/>
              <w:tabs>
                <w:tab w:val="left" w:pos="630"/>
                <w:tab w:val="left" w:pos="7140"/>
                <w:tab w:val="left" w:pos="7560"/>
                <w:tab w:val="left" w:pos="7980"/>
              </w:tabs>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2</w:t>
            </w:r>
          </w:p>
        </w:tc>
        <w:tc>
          <w:tcPr>
            <w:tcW w:w="1736" w:type="pct"/>
            <w:tcBorders>
              <w:top w:val="nil"/>
              <w:left w:val="double" w:color="auto" w:sz="4" w:space="0"/>
              <w:bottom w:val="nil"/>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梅克尔憩室引起的并发症</w:t>
            </w:r>
          </w:p>
        </w:tc>
        <w:tc>
          <w:tcPr>
            <w:tcW w:w="667" w:type="pct"/>
            <w:gridSpan w:val="2"/>
            <w:tcBorders>
              <w:top w:val="nil"/>
              <w:left w:val="nil"/>
              <w:bottom w:val="nil"/>
              <w:right w:val="nil"/>
            </w:tcBorders>
            <w:vAlign w:val="center"/>
          </w:tcPr>
          <w:p>
            <w:pPr>
              <w:pStyle w:val="3"/>
              <w:tabs>
                <w:tab w:val="left" w:pos="630"/>
                <w:tab w:val="left" w:pos="7140"/>
                <w:tab w:val="left" w:pos="7560"/>
                <w:tab w:val="left" w:pos="7980"/>
              </w:tabs>
              <w:spacing w:line="240" w:lineRule="auto"/>
              <w:ind w:left="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929" w:type="pct"/>
            <w:tcBorders>
              <w:top w:val="nil"/>
              <w:left w:val="nil"/>
              <w:bottom w:val="nil"/>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腹膜炎原发性腹膜炎</w:t>
            </w:r>
          </w:p>
        </w:tc>
        <w:tc>
          <w:tcPr>
            <w:tcW w:w="666" w:type="pct"/>
            <w:tcBorders>
              <w:top w:val="nil"/>
              <w:left w:val="nil"/>
              <w:bottom w:val="nil"/>
              <w:right w:val="double" w:color="auto" w:sz="4" w:space="0"/>
            </w:tcBorders>
            <w:vAlign w:val="center"/>
          </w:tcPr>
          <w:p>
            <w:pPr>
              <w:pStyle w:val="3"/>
              <w:tabs>
                <w:tab w:val="left" w:pos="630"/>
                <w:tab w:val="left" w:pos="7140"/>
                <w:tab w:val="left" w:pos="7560"/>
                <w:tab w:val="left" w:pos="7980"/>
              </w:tabs>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5</w:t>
            </w:r>
          </w:p>
        </w:tc>
        <w:tc>
          <w:tcPr>
            <w:tcW w:w="1736" w:type="pct"/>
            <w:tcBorders>
              <w:top w:val="nil"/>
              <w:left w:val="double" w:color="auto" w:sz="4" w:space="0"/>
              <w:bottom w:val="nil"/>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急性肠系膜淋巴结炎</w:t>
            </w:r>
          </w:p>
        </w:tc>
        <w:tc>
          <w:tcPr>
            <w:tcW w:w="667" w:type="pct"/>
            <w:gridSpan w:val="2"/>
            <w:tcBorders>
              <w:top w:val="nil"/>
              <w:left w:val="nil"/>
              <w:bottom w:val="nil"/>
              <w:right w:val="nil"/>
            </w:tcBorders>
            <w:vAlign w:val="center"/>
          </w:tcPr>
          <w:p>
            <w:pPr>
              <w:pStyle w:val="3"/>
              <w:tabs>
                <w:tab w:val="left" w:pos="630"/>
                <w:tab w:val="left" w:pos="7140"/>
                <w:tab w:val="left" w:pos="7560"/>
                <w:tab w:val="left" w:pos="7980"/>
              </w:tabs>
              <w:spacing w:line="240" w:lineRule="auto"/>
              <w:ind w:left="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929" w:type="pct"/>
            <w:tcBorders>
              <w:top w:val="nil"/>
              <w:left w:val="nil"/>
              <w:bottom w:val="nil"/>
              <w:right w:val="nil"/>
            </w:tcBorders>
            <w:vAlign w:val="center"/>
          </w:tcPr>
          <w:p>
            <w:pPr>
              <w:pStyle w:val="3"/>
              <w:tabs>
                <w:tab w:val="left" w:pos="7140"/>
                <w:tab w:val="left" w:pos="7560"/>
                <w:tab w:val="left" w:pos="7980"/>
              </w:tabs>
              <w:spacing w:line="240" w:lineRule="auto"/>
              <w:ind w:left="0"/>
              <w:jc w:val="both"/>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肠套叠</w:t>
            </w:r>
          </w:p>
        </w:tc>
        <w:tc>
          <w:tcPr>
            <w:tcW w:w="666" w:type="pct"/>
            <w:tcBorders>
              <w:top w:val="nil"/>
              <w:left w:val="nil"/>
              <w:bottom w:val="nil"/>
              <w:right w:val="double" w:color="auto" w:sz="4" w:space="0"/>
            </w:tcBorders>
            <w:vAlign w:val="center"/>
          </w:tcPr>
          <w:p>
            <w:pPr>
              <w:pStyle w:val="3"/>
              <w:tabs>
                <w:tab w:val="left" w:pos="630"/>
                <w:tab w:val="left" w:pos="7140"/>
                <w:tab w:val="left" w:pos="7560"/>
                <w:tab w:val="left" w:pos="7980"/>
              </w:tabs>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5</w:t>
            </w:r>
          </w:p>
        </w:tc>
        <w:tc>
          <w:tcPr>
            <w:tcW w:w="1736" w:type="pct"/>
            <w:tcBorders>
              <w:top w:val="nil"/>
              <w:left w:val="double" w:color="auto" w:sz="4" w:space="0"/>
              <w:bottom w:val="nil"/>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胆囊炎</w:t>
            </w:r>
          </w:p>
        </w:tc>
        <w:tc>
          <w:tcPr>
            <w:tcW w:w="667" w:type="pct"/>
            <w:gridSpan w:val="2"/>
            <w:tcBorders>
              <w:top w:val="nil"/>
              <w:left w:val="nil"/>
              <w:bottom w:val="nil"/>
              <w:right w:val="nil"/>
            </w:tcBorders>
            <w:vAlign w:val="center"/>
          </w:tcPr>
          <w:p>
            <w:pPr>
              <w:pStyle w:val="3"/>
              <w:tabs>
                <w:tab w:val="left" w:pos="630"/>
                <w:tab w:val="left" w:pos="7140"/>
                <w:tab w:val="left" w:pos="7560"/>
                <w:tab w:val="left" w:pos="7980"/>
              </w:tabs>
              <w:spacing w:line="240" w:lineRule="auto"/>
              <w:ind w:left="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929" w:type="pct"/>
            <w:tcBorders>
              <w:top w:val="nil"/>
              <w:left w:val="nil"/>
              <w:bottom w:val="nil"/>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腹股沟斜疝嵌顿</w:t>
            </w:r>
          </w:p>
        </w:tc>
        <w:tc>
          <w:tcPr>
            <w:tcW w:w="666" w:type="pct"/>
            <w:tcBorders>
              <w:top w:val="nil"/>
              <w:left w:val="nil"/>
              <w:bottom w:val="nil"/>
              <w:right w:val="double" w:color="auto" w:sz="4" w:space="0"/>
            </w:tcBorders>
            <w:vAlign w:val="center"/>
          </w:tcPr>
          <w:p>
            <w:pPr>
              <w:pStyle w:val="3"/>
              <w:tabs>
                <w:tab w:val="left" w:pos="630"/>
                <w:tab w:val="left" w:pos="7140"/>
                <w:tab w:val="left" w:pos="7560"/>
                <w:tab w:val="left" w:pos="7980"/>
              </w:tabs>
              <w:spacing w:line="240" w:lineRule="auto"/>
              <w:ind w:left="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5</w:t>
            </w:r>
          </w:p>
        </w:tc>
        <w:tc>
          <w:tcPr>
            <w:tcW w:w="1736" w:type="pct"/>
            <w:tcBorders>
              <w:top w:val="nil"/>
              <w:left w:val="double" w:color="auto" w:sz="4" w:space="0"/>
              <w:bottom w:val="nil"/>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肠重复畸形引起的并发症</w:t>
            </w:r>
          </w:p>
        </w:tc>
        <w:tc>
          <w:tcPr>
            <w:tcW w:w="667" w:type="pct"/>
            <w:gridSpan w:val="2"/>
            <w:tcBorders>
              <w:top w:val="nil"/>
              <w:left w:val="nil"/>
              <w:bottom w:val="nil"/>
              <w:right w:val="nil"/>
            </w:tcBorders>
            <w:vAlign w:val="center"/>
          </w:tcPr>
          <w:p>
            <w:pPr>
              <w:pStyle w:val="3"/>
              <w:tabs>
                <w:tab w:val="left" w:pos="630"/>
                <w:tab w:val="left" w:pos="7140"/>
                <w:tab w:val="left" w:pos="7560"/>
                <w:tab w:val="left" w:pos="7980"/>
              </w:tabs>
              <w:spacing w:line="240" w:lineRule="auto"/>
              <w:ind w:left="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929" w:type="pct"/>
            <w:tcBorders>
              <w:top w:val="nil"/>
              <w:left w:val="nil"/>
              <w:bottom w:val="single" w:color="auto" w:sz="8" w:space="0"/>
              <w:right w:val="nil"/>
            </w:tcBorders>
            <w:vAlign w:val="center"/>
          </w:tcPr>
          <w:p>
            <w:pPr>
              <w:pStyle w:val="3"/>
              <w:tabs>
                <w:tab w:val="left" w:pos="7140"/>
                <w:tab w:val="left" w:pos="7560"/>
                <w:tab w:val="left" w:pos="7980"/>
              </w:tabs>
              <w:spacing w:line="240" w:lineRule="auto"/>
              <w:ind w:left="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胸腹部创伤</w:t>
            </w:r>
          </w:p>
        </w:tc>
        <w:tc>
          <w:tcPr>
            <w:tcW w:w="666" w:type="pct"/>
            <w:tcBorders>
              <w:top w:val="nil"/>
              <w:left w:val="nil"/>
              <w:bottom w:val="single" w:color="auto" w:sz="8" w:space="0"/>
              <w:right w:val="double" w:color="auto" w:sz="4" w:space="0"/>
            </w:tcBorders>
            <w:vAlign w:val="center"/>
          </w:tcPr>
          <w:p>
            <w:pPr>
              <w:pStyle w:val="3"/>
              <w:tabs>
                <w:tab w:val="left" w:pos="630"/>
                <w:tab w:val="left" w:pos="7140"/>
                <w:tab w:val="left" w:pos="7560"/>
                <w:tab w:val="left" w:pos="7980"/>
              </w:tabs>
              <w:spacing w:line="240" w:lineRule="auto"/>
              <w:ind w:left="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5</w:t>
            </w:r>
          </w:p>
        </w:tc>
        <w:tc>
          <w:tcPr>
            <w:tcW w:w="1795" w:type="pct"/>
            <w:gridSpan w:val="2"/>
            <w:tcBorders>
              <w:top w:val="nil"/>
              <w:left w:val="double" w:color="auto" w:sz="4" w:space="0"/>
              <w:bottom w:val="single" w:color="auto" w:sz="8" w:space="0"/>
              <w:right w:val="nil"/>
            </w:tcBorders>
            <w:vAlign w:val="center"/>
          </w:tcPr>
          <w:p>
            <w:pPr>
              <w:pStyle w:val="3"/>
              <w:tabs>
                <w:tab w:val="left" w:pos="7140"/>
                <w:tab w:val="left" w:pos="7560"/>
                <w:tab w:val="left" w:pos="7980"/>
              </w:tabs>
              <w:spacing w:line="240" w:lineRule="auto"/>
              <w:ind w:left="0"/>
              <w:jc w:val="both"/>
              <w:rPr>
                <w:rFonts w:hint="eastAsia" w:ascii="仿宋_GB2312" w:hAnsi="仿宋_GB2312" w:eastAsia="仿宋_GB2312" w:cs="仿宋_GB2312"/>
                <w:color w:val="auto"/>
                <w:sz w:val="21"/>
                <w:szCs w:val="21"/>
                <w:highlight w:val="none"/>
                <w:lang w:val="en-US" w:eastAsia="zh-CN"/>
              </w:rPr>
            </w:pPr>
          </w:p>
        </w:tc>
        <w:tc>
          <w:tcPr>
            <w:tcW w:w="608" w:type="pct"/>
            <w:tcBorders>
              <w:top w:val="nil"/>
              <w:left w:val="nil"/>
              <w:bottom w:val="single" w:color="auto" w:sz="8" w:space="0"/>
              <w:right w:val="nil"/>
            </w:tcBorders>
            <w:vAlign w:val="center"/>
          </w:tcPr>
          <w:p>
            <w:pPr>
              <w:pStyle w:val="3"/>
              <w:tabs>
                <w:tab w:val="left" w:pos="630"/>
                <w:tab w:val="left" w:pos="7140"/>
                <w:tab w:val="left" w:pos="7560"/>
                <w:tab w:val="left" w:pos="7980"/>
              </w:tabs>
              <w:spacing w:line="240" w:lineRule="auto"/>
              <w:ind w:left="0"/>
              <w:jc w:val="both"/>
              <w:rPr>
                <w:rFonts w:hint="eastAsia" w:ascii="仿宋_GB2312" w:hAnsi="仿宋_GB2312" w:eastAsia="仿宋_GB2312" w:cs="仿宋_GB2312"/>
                <w:color w:val="auto"/>
                <w:sz w:val="21"/>
                <w:szCs w:val="21"/>
                <w:highlight w:val="none"/>
                <w:lang w:val="en-US" w:eastAsia="zh-CN"/>
              </w:rPr>
            </w:pPr>
          </w:p>
        </w:tc>
      </w:tr>
    </w:tbl>
    <w:p>
      <w:pPr>
        <w:widowControl/>
        <w:autoSpaceDE w:val="0"/>
        <w:autoSpaceDN w:val="0"/>
        <w:adjustRightInd w:val="0"/>
        <w:snapToGrid w:val="0"/>
        <w:spacing w:line="560" w:lineRule="exact"/>
        <w:ind w:firstLine="640" w:firstLineChars="200"/>
        <w:jc w:val="left"/>
        <w:rPr>
          <w:rFonts w:hint="eastAsia" w:ascii="仿宋_GB2312" w:hAnsi="Helvetica" w:eastAsia="仿宋_GB2312" w:cs="Helvetica"/>
          <w:color w:val="auto"/>
          <w:kern w:val="0"/>
          <w:sz w:val="32"/>
          <w:szCs w:val="32"/>
          <w:highlight w:val="none"/>
        </w:rPr>
      </w:pP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②</w:t>
      </w:r>
      <w:r>
        <w:rPr>
          <w:rFonts w:hint="eastAsia" w:ascii="仿宋_GB2312" w:hAnsi="Helvetica" w:eastAsia="仿宋_GB2312" w:cs="Helvetica"/>
          <w:color w:val="auto"/>
          <w:kern w:val="0"/>
          <w:sz w:val="32"/>
          <w:szCs w:val="32"/>
          <w:highlight w:val="none"/>
          <w:lang w:val="en-US" w:eastAsia="zh-CN"/>
        </w:rPr>
        <w:t>基本技能</w:t>
      </w:r>
      <w:r>
        <w:rPr>
          <w:rFonts w:hint="eastAsia" w:ascii="仿宋_GB2312" w:hAnsi="Helvetica" w:eastAsia="仿宋_GB2312" w:cs="Helvetica"/>
          <w:color w:val="auto"/>
          <w:kern w:val="0"/>
          <w:sz w:val="32"/>
          <w:szCs w:val="32"/>
          <w:highlight w:val="none"/>
        </w:rPr>
        <w:t>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a.</w:t>
      </w:r>
      <w:r>
        <w:rPr>
          <w:rFonts w:hint="eastAsia" w:ascii="仿宋_GB2312" w:hAnsi="Helvetica" w:eastAsia="仿宋_GB2312" w:cs="Helvetica"/>
          <w:color w:val="auto"/>
          <w:kern w:val="0"/>
          <w:sz w:val="32"/>
          <w:szCs w:val="32"/>
          <w:highlight w:val="none"/>
        </w:rPr>
        <w:t>书写</w:t>
      </w:r>
      <w:r>
        <w:rPr>
          <w:rFonts w:hint="eastAsia" w:ascii="仿宋_GB2312" w:hAnsi="Helvetica" w:eastAsia="仿宋_GB2312" w:cs="Helvetica"/>
          <w:color w:val="auto"/>
          <w:kern w:val="0"/>
          <w:sz w:val="32"/>
          <w:szCs w:val="32"/>
          <w:highlight w:val="none"/>
          <w:lang w:val="en-US" w:eastAsia="zh-CN"/>
        </w:rPr>
        <w:t>住院病历</w:t>
      </w:r>
      <w:r>
        <w:rPr>
          <w:rFonts w:hint="eastAsia" w:ascii="仿宋_GB2312" w:hAnsi="Helvetica" w:eastAsia="仿宋_GB2312" w:cs="Helvetica"/>
          <w:color w:val="auto"/>
          <w:kern w:val="0"/>
          <w:sz w:val="32"/>
          <w:szCs w:val="32"/>
          <w:highlight w:val="none"/>
        </w:rPr>
        <w:t>不少于</w:t>
      </w:r>
      <w:r>
        <w:rPr>
          <w:rFonts w:hint="eastAsia" w:ascii="仿宋_GB2312" w:hAnsi="Helvetica" w:eastAsia="仿宋_GB2312" w:cs="Helvetica"/>
          <w:color w:val="auto"/>
          <w:kern w:val="0"/>
          <w:sz w:val="32"/>
          <w:szCs w:val="32"/>
          <w:highlight w:val="none"/>
          <w:lang w:val="en-US" w:eastAsia="zh-CN"/>
        </w:rPr>
        <w:t>30</w:t>
      </w:r>
      <w:r>
        <w:rPr>
          <w:rFonts w:hint="eastAsia" w:ascii="仿宋_GB2312" w:hAnsi="Helvetica" w:eastAsia="仿宋_GB2312" w:cs="Helvetica"/>
          <w:color w:val="auto"/>
          <w:kern w:val="0"/>
          <w:sz w:val="32"/>
          <w:szCs w:val="32"/>
          <w:highlight w:val="none"/>
        </w:rPr>
        <w:t>份,</w:t>
      </w:r>
      <w:r>
        <w:rPr>
          <w:rFonts w:hint="eastAsia" w:ascii="仿宋_GB2312" w:hAnsi="Helvetica" w:eastAsia="仿宋_GB2312" w:cs="Helvetica"/>
          <w:color w:val="auto"/>
          <w:kern w:val="0"/>
          <w:sz w:val="32"/>
          <w:szCs w:val="32"/>
          <w:highlight w:val="none"/>
          <w:lang w:val="en-US" w:eastAsia="zh-CN"/>
        </w:rPr>
        <w:t>书写入院记录不少于</w:t>
      </w:r>
      <w:r>
        <w:rPr>
          <w:rFonts w:hint="eastAsia" w:ascii="仿宋_GB2312" w:hAnsi="Helvetica" w:eastAsia="仿宋_GB2312" w:cs="Helvetica"/>
          <w:color w:val="auto"/>
          <w:kern w:val="0"/>
          <w:sz w:val="32"/>
          <w:szCs w:val="32"/>
          <w:highlight w:val="none"/>
        </w:rPr>
        <w:t>5份。</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在上级医师指导下完成以下手术</w:t>
      </w:r>
      <w:r>
        <w:rPr>
          <w:rFonts w:hint="eastAsia" w:ascii="仿宋_GB2312" w:hAnsi="Helvetica" w:eastAsia="仿宋_GB2312" w:cs="Helvetica"/>
          <w:color w:val="auto"/>
          <w:kern w:val="0"/>
          <w:sz w:val="32"/>
          <w:szCs w:val="32"/>
          <w:highlight w:val="none"/>
          <w:lang w:val="en-US" w:eastAsia="zh-CN"/>
        </w:rPr>
        <w:t>或操作，见表3</w:t>
      </w:r>
      <w:r>
        <w:rPr>
          <w:rFonts w:hint="eastAsia" w:ascii="仿宋_GB2312" w:hAnsi="Helvetica" w:eastAsia="仿宋_GB2312" w:cs="Helvetica"/>
          <w:color w:val="auto"/>
          <w:kern w:val="0"/>
          <w:sz w:val="32"/>
          <w:szCs w:val="32"/>
          <w:highlight w:val="none"/>
        </w:rPr>
        <w:t>。</w:t>
      </w:r>
    </w:p>
    <w:p>
      <w:pPr>
        <w:widowControl/>
        <w:autoSpaceDE w:val="0"/>
        <w:autoSpaceDN w:val="0"/>
        <w:adjustRightInd w:val="0"/>
        <w:snapToGrid w:val="0"/>
        <w:spacing w:line="560" w:lineRule="exact"/>
        <w:ind w:firstLine="640" w:firstLineChars="200"/>
        <w:jc w:val="left"/>
        <w:rPr>
          <w:rFonts w:hint="eastAsia" w:ascii="仿宋_GB2312" w:hAnsi="Helvetica" w:eastAsia="仿宋_GB2312" w:cs="Helvetica"/>
          <w:color w:val="auto"/>
          <w:kern w:val="0"/>
          <w:sz w:val="32"/>
          <w:szCs w:val="32"/>
          <w:highlight w:val="none"/>
        </w:rPr>
      </w:pPr>
    </w:p>
    <w:p>
      <w:pPr>
        <w:widowControl/>
        <w:numPr>
          <w:ilvl w:val="0"/>
          <w:numId w:val="0"/>
        </w:numPr>
        <w:autoSpaceDE/>
        <w:autoSpaceDN/>
        <w:spacing w:line="240" w:lineRule="auto"/>
        <w:ind w:firstLine="0" w:firstLineChars="0"/>
        <w:jc w:val="center"/>
        <w:rPr>
          <w:rFonts w:hint="default" w:ascii="仿宋_GB2312" w:hAnsi="Helvetica" w:eastAsia="仿宋_GB2312" w:cs="Helvetica"/>
          <w:color w:val="auto"/>
          <w:kern w:val="0"/>
          <w:sz w:val="24"/>
          <w:szCs w:val="24"/>
          <w:highlight w:val="none"/>
        </w:rPr>
      </w:pPr>
      <w:r>
        <w:rPr>
          <w:rFonts w:hint="eastAsia" w:ascii="方正小标宋简体" w:hAnsi="宋体" w:eastAsia="方正小标宋简体" w:cs="宋体"/>
          <w:color w:val="auto"/>
          <w:kern w:val="0"/>
          <w:sz w:val="24"/>
          <w:szCs w:val="24"/>
          <w:highlight w:val="none"/>
          <w:lang w:val="en-US" w:eastAsia="zh-CN"/>
        </w:rPr>
        <w:t xml:space="preserve">表3  </w:t>
      </w:r>
      <w:r>
        <w:rPr>
          <w:rFonts w:hint="eastAsia" w:ascii="方正小标宋简体" w:hAnsi="宋体" w:eastAsia="方正小标宋简体" w:cs="宋体"/>
          <w:color w:val="auto"/>
          <w:kern w:val="0"/>
          <w:sz w:val="24"/>
          <w:szCs w:val="24"/>
          <w:highlight w:val="none"/>
          <w:lang w:val="en-US" w:eastAsia="zh-CN" w:bidi="ar"/>
        </w:rPr>
        <w:t>手术或操作技术种类及例数要求</w:t>
      </w:r>
    </w:p>
    <w:tbl>
      <w:tblPr>
        <w:tblStyle w:val="10"/>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6"/>
        <w:gridCol w:w="1892"/>
        <w:gridCol w:w="2573"/>
        <w:gridCol w:w="1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946" w:type="dxa"/>
            <w:tcBorders>
              <w:top w:val="single" w:color="auto" w:sz="8" w:space="0"/>
              <w:left w:val="nil"/>
              <w:bottom w:val="single" w:color="auto" w:sz="4" w:space="0"/>
              <w:right w:val="nil"/>
            </w:tcBorders>
            <w:vAlign w:val="center"/>
          </w:tcPr>
          <w:p>
            <w:pPr>
              <w:autoSpaceDE w:val="0"/>
              <w:autoSpaceDN w:val="0"/>
              <w:spacing w:before="0" w:line="240" w:lineRule="auto"/>
              <w:ind w:right="0" w:rightChars="0" w:firstLine="422" w:firstLineChars="200"/>
              <w:jc w:val="both"/>
              <w:rPr>
                <w:rFonts w:hint="eastAsia" w:ascii="黑体" w:hAnsi="黑体" w:eastAsia="黑体" w:cs="黑体"/>
                <w:b/>
                <w:color w:val="auto"/>
                <w:kern w:val="0"/>
                <w:position w:val="-2"/>
                <w:szCs w:val="21"/>
                <w:highlight w:val="none"/>
                <w:lang w:eastAsia="zh-CN" w:bidi="ar"/>
              </w:rPr>
            </w:pPr>
            <w:r>
              <w:rPr>
                <w:rFonts w:hint="eastAsia" w:ascii="黑体" w:hAnsi="黑体" w:eastAsia="黑体" w:cs="黑体"/>
                <w:b/>
                <w:color w:val="auto"/>
                <w:kern w:val="0"/>
                <w:position w:val="-2"/>
                <w:szCs w:val="21"/>
                <w:highlight w:val="none"/>
                <w:lang w:eastAsia="zh-CN" w:bidi="ar"/>
              </w:rPr>
              <w:t>手术或技术操作</w:t>
            </w:r>
          </w:p>
        </w:tc>
        <w:tc>
          <w:tcPr>
            <w:tcW w:w="1892" w:type="dxa"/>
            <w:tcBorders>
              <w:top w:val="single" w:color="auto" w:sz="8" w:space="0"/>
              <w:left w:val="nil"/>
              <w:bottom w:val="single" w:color="auto" w:sz="4" w:space="0"/>
              <w:right w:val="double" w:color="auto" w:sz="4" w:space="0"/>
            </w:tcBorders>
            <w:vAlign w:val="center"/>
          </w:tcPr>
          <w:p>
            <w:pPr>
              <w:autoSpaceDE w:val="0"/>
              <w:autoSpaceDN w:val="0"/>
              <w:spacing w:before="0" w:line="240" w:lineRule="auto"/>
              <w:ind w:right="0" w:rightChars="0"/>
              <w:jc w:val="both"/>
              <w:rPr>
                <w:rFonts w:hint="eastAsia" w:ascii="黑体" w:hAnsi="黑体" w:eastAsia="黑体" w:cs="黑体"/>
                <w:b/>
                <w:color w:val="auto"/>
                <w:kern w:val="0"/>
                <w:position w:val="-2"/>
                <w:szCs w:val="21"/>
                <w:highlight w:val="none"/>
                <w:lang w:eastAsia="zh-CN" w:bidi="ar"/>
              </w:rPr>
            </w:pPr>
            <w:r>
              <w:rPr>
                <w:rFonts w:hint="eastAsia" w:ascii="黑体" w:hAnsi="黑体" w:eastAsia="黑体" w:cs="黑体"/>
                <w:b/>
                <w:color w:val="auto"/>
                <w:kern w:val="0"/>
                <w:position w:val="-2"/>
                <w:szCs w:val="21"/>
                <w:highlight w:val="none"/>
                <w:lang w:eastAsia="zh-CN" w:bidi="ar"/>
              </w:rPr>
              <w:t>最低例数</w:t>
            </w:r>
          </w:p>
        </w:tc>
        <w:tc>
          <w:tcPr>
            <w:tcW w:w="2573" w:type="dxa"/>
            <w:tcBorders>
              <w:top w:val="single" w:color="auto" w:sz="8" w:space="0"/>
              <w:left w:val="double" w:color="auto" w:sz="4" w:space="0"/>
              <w:bottom w:val="single" w:color="auto" w:sz="4" w:space="0"/>
              <w:right w:val="nil"/>
            </w:tcBorders>
            <w:vAlign w:val="center"/>
          </w:tcPr>
          <w:p>
            <w:pPr>
              <w:autoSpaceDE w:val="0"/>
              <w:autoSpaceDN w:val="0"/>
              <w:spacing w:before="0" w:line="240" w:lineRule="auto"/>
              <w:ind w:right="0" w:rightChars="0" w:firstLine="422" w:firstLineChars="200"/>
              <w:jc w:val="both"/>
              <w:rPr>
                <w:rFonts w:hint="eastAsia" w:ascii="黑体" w:hAnsi="黑体" w:eastAsia="黑体" w:cs="黑体"/>
                <w:b/>
                <w:color w:val="auto"/>
                <w:kern w:val="0"/>
                <w:position w:val="-2"/>
                <w:szCs w:val="21"/>
                <w:highlight w:val="none"/>
                <w:lang w:eastAsia="zh-CN" w:bidi="ar"/>
              </w:rPr>
            </w:pPr>
            <w:r>
              <w:rPr>
                <w:rFonts w:hint="eastAsia" w:ascii="黑体" w:hAnsi="黑体" w:eastAsia="黑体" w:cs="黑体"/>
                <w:b/>
                <w:color w:val="auto"/>
                <w:kern w:val="0"/>
                <w:position w:val="-2"/>
                <w:szCs w:val="21"/>
                <w:highlight w:val="none"/>
                <w:lang w:eastAsia="zh-CN" w:bidi="ar"/>
              </w:rPr>
              <w:t>手术或技术操作</w:t>
            </w:r>
          </w:p>
        </w:tc>
        <w:tc>
          <w:tcPr>
            <w:tcW w:w="1376" w:type="dxa"/>
            <w:tcBorders>
              <w:top w:val="single" w:color="auto" w:sz="8" w:space="0"/>
              <w:left w:val="nil"/>
              <w:bottom w:val="single" w:color="auto" w:sz="4" w:space="0"/>
              <w:right w:val="nil"/>
            </w:tcBorders>
            <w:vAlign w:val="center"/>
          </w:tcPr>
          <w:p>
            <w:pPr>
              <w:autoSpaceDE w:val="0"/>
              <w:autoSpaceDN w:val="0"/>
              <w:spacing w:before="0" w:line="240" w:lineRule="auto"/>
              <w:ind w:right="0" w:rightChars="0"/>
              <w:jc w:val="both"/>
              <w:rPr>
                <w:rFonts w:hint="eastAsia" w:ascii="黑体" w:hAnsi="黑体" w:eastAsia="黑体" w:cs="黑体"/>
                <w:b/>
                <w:color w:val="auto"/>
                <w:kern w:val="0"/>
                <w:position w:val="-2"/>
                <w:szCs w:val="21"/>
                <w:highlight w:val="none"/>
                <w:lang w:eastAsia="zh-CN" w:bidi="ar"/>
              </w:rPr>
            </w:pPr>
            <w:r>
              <w:rPr>
                <w:rFonts w:hint="eastAsia" w:ascii="黑体" w:hAnsi="黑体" w:eastAsia="黑体" w:cs="黑体"/>
                <w:b/>
                <w:color w:val="auto"/>
                <w:kern w:val="0"/>
                <w:position w:val="-2"/>
                <w:szCs w:val="21"/>
                <w:highlight w:val="none"/>
                <w:lang w:eastAsia="zh-CN" w:bidi="ar"/>
              </w:rPr>
              <w:t>最低例数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46" w:type="dxa"/>
            <w:tcBorders>
              <w:top w:val="single" w:color="auto" w:sz="4" w:space="0"/>
              <w:left w:val="nil"/>
              <w:bottom w:val="nil"/>
              <w:right w:val="nil"/>
            </w:tcBorders>
            <w:vAlign w:val="center"/>
          </w:tcPr>
          <w:p>
            <w:pPr>
              <w:widowControl/>
              <w:ind w:right="233" w:rightChars="111"/>
              <w:jc w:val="left"/>
              <w:rPr>
                <w:rFonts w:hint="eastAsia"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bidi="ar"/>
              </w:rPr>
              <w:t>软组织脓肿切开引流术</w:t>
            </w:r>
          </w:p>
        </w:tc>
        <w:tc>
          <w:tcPr>
            <w:tcW w:w="1892" w:type="dxa"/>
            <w:tcBorders>
              <w:top w:val="single" w:color="auto" w:sz="4" w:space="0"/>
              <w:left w:val="nil"/>
              <w:bottom w:val="nil"/>
              <w:right w:val="double" w:color="auto" w:sz="4" w:space="0"/>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c>
          <w:tcPr>
            <w:tcW w:w="2573" w:type="dxa"/>
            <w:tcBorders>
              <w:top w:val="single" w:color="auto" w:sz="4" w:space="0"/>
              <w:left w:val="double" w:color="auto" w:sz="4" w:space="0"/>
              <w:bottom w:val="nil"/>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清创缝合术</w:t>
            </w:r>
          </w:p>
        </w:tc>
        <w:tc>
          <w:tcPr>
            <w:tcW w:w="1376" w:type="dxa"/>
            <w:tcBorders>
              <w:top w:val="single" w:color="auto" w:sz="4" w:space="0"/>
              <w:left w:val="nil"/>
              <w:bottom w:val="nil"/>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46" w:type="dxa"/>
            <w:tcBorders>
              <w:top w:val="nil"/>
              <w:left w:val="nil"/>
              <w:bottom w:val="nil"/>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腹腔引流术</w:t>
            </w:r>
          </w:p>
        </w:tc>
        <w:tc>
          <w:tcPr>
            <w:tcW w:w="1892" w:type="dxa"/>
            <w:tcBorders>
              <w:top w:val="nil"/>
              <w:left w:val="nil"/>
              <w:bottom w:val="nil"/>
              <w:right w:val="double" w:color="auto" w:sz="4" w:space="0"/>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 xml:space="preserve">      </w:t>
            </w:r>
            <w:r>
              <w:rPr>
                <w:rFonts w:hint="eastAsia" w:ascii="仿宋_GB2312" w:hAnsi="宋体" w:eastAsia="仿宋_GB2312" w:cs="宋体"/>
                <w:color w:val="auto"/>
                <w:kern w:val="0"/>
                <w:sz w:val="21"/>
                <w:szCs w:val="21"/>
                <w:highlight w:val="none"/>
                <w:lang w:val="en-US" w:eastAsia="zh-CN"/>
              </w:rPr>
              <w:t>1</w:t>
            </w:r>
          </w:p>
        </w:tc>
        <w:tc>
          <w:tcPr>
            <w:tcW w:w="2573" w:type="dxa"/>
            <w:tcBorders>
              <w:top w:val="nil"/>
              <w:left w:val="double" w:color="auto" w:sz="4" w:space="0"/>
              <w:bottom w:val="nil"/>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嵌顿性腹股沟斜疝手术</w:t>
            </w:r>
          </w:p>
        </w:tc>
        <w:tc>
          <w:tcPr>
            <w:tcW w:w="1376" w:type="dxa"/>
            <w:tcBorders>
              <w:top w:val="nil"/>
              <w:left w:val="nil"/>
              <w:bottom w:val="nil"/>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946" w:type="dxa"/>
            <w:tcBorders>
              <w:top w:val="nil"/>
              <w:left w:val="nil"/>
              <w:bottom w:val="nil"/>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阑尾切除术</w:t>
            </w:r>
          </w:p>
        </w:tc>
        <w:tc>
          <w:tcPr>
            <w:tcW w:w="1892" w:type="dxa"/>
            <w:tcBorders>
              <w:top w:val="nil"/>
              <w:left w:val="nil"/>
              <w:bottom w:val="nil"/>
              <w:right w:val="double" w:color="auto" w:sz="4" w:space="0"/>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10</w:t>
            </w:r>
          </w:p>
        </w:tc>
        <w:tc>
          <w:tcPr>
            <w:tcW w:w="2573" w:type="dxa"/>
            <w:tcBorders>
              <w:top w:val="nil"/>
              <w:left w:val="double" w:color="auto" w:sz="4" w:space="0"/>
              <w:bottom w:val="nil"/>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淋巴结活检术</w:t>
            </w:r>
          </w:p>
        </w:tc>
        <w:tc>
          <w:tcPr>
            <w:tcW w:w="1376" w:type="dxa"/>
            <w:tcBorders>
              <w:top w:val="nil"/>
              <w:left w:val="nil"/>
              <w:bottom w:val="nil"/>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2946" w:type="dxa"/>
            <w:tcBorders>
              <w:top w:val="nil"/>
              <w:left w:val="nil"/>
              <w:bottom w:val="single" w:color="auto" w:sz="8" w:space="0"/>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肠套叠手法复位术</w:t>
            </w:r>
          </w:p>
        </w:tc>
        <w:tc>
          <w:tcPr>
            <w:tcW w:w="1892" w:type="dxa"/>
            <w:tcBorders>
              <w:top w:val="nil"/>
              <w:left w:val="nil"/>
              <w:bottom w:val="single" w:color="auto" w:sz="8" w:space="0"/>
              <w:right w:val="double" w:color="auto" w:sz="4" w:space="0"/>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 xml:space="preserve">      </w:t>
            </w:r>
            <w:r>
              <w:rPr>
                <w:rFonts w:hint="eastAsia" w:ascii="仿宋_GB2312" w:hAnsi="宋体" w:eastAsia="仿宋_GB2312" w:cs="宋体"/>
                <w:color w:val="auto"/>
                <w:kern w:val="0"/>
                <w:sz w:val="21"/>
                <w:szCs w:val="21"/>
                <w:highlight w:val="none"/>
                <w:lang w:val="en-US" w:eastAsia="zh-CN"/>
              </w:rPr>
              <w:t>1</w:t>
            </w:r>
          </w:p>
        </w:tc>
        <w:tc>
          <w:tcPr>
            <w:tcW w:w="2573" w:type="dxa"/>
            <w:tcBorders>
              <w:top w:val="nil"/>
              <w:left w:val="double" w:color="auto" w:sz="4" w:space="0"/>
              <w:bottom w:val="single" w:color="auto" w:sz="8" w:space="0"/>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lang w:eastAsia="zh-CN"/>
              </w:rPr>
            </w:pPr>
          </w:p>
        </w:tc>
        <w:tc>
          <w:tcPr>
            <w:tcW w:w="1376" w:type="dxa"/>
            <w:tcBorders>
              <w:top w:val="nil"/>
              <w:left w:val="nil"/>
              <w:bottom w:val="single" w:color="auto" w:sz="8" w:space="0"/>
              <w:right w:val="nil"/>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rPr>
            </w:pPr>
          </w:p>
        </w:tc>
      </w:tr>
    </w:tbl>
    <w:p>
      <w:pPr>
        <w:widowControl/>
        <w:autoSpaceDE w:val="0"/>
        <w:autoSpaceDN w:val="0"/>
        <w:adjustRightInd w:val="0"/>
        <w:snapToGrid w:val="0"/>
        <w:spacing w:line="560" w:lineRule="exact"/>
        <w:ind w:left="0" w:firstLine="640" w:firstLineChars="200"/>
        <w:jc w:val="left"/>
        <w:rPr>
          <w:rFonts w:hint="eastAsia" w:ascii="仿宋_GB2312" w:hAnsi="Helvetica" w:eastAsia="仿宋_GB2312" w:cs="Helvetica"/>
          <w:color w:val="auto"/>
          <w:kern w:val="0"/>
          <w:sz w:val="32"/>
          <w:szCs w:val="32"/>
          <w:highlight w:val="none"/>
          <w:lang w:val="en-US" w:eastAsia="zh-CN"/>
        </w:rPr>
      </w:pPr>
    </w:p>
    <w:p>
      <w:pPr>
        <w:widowControl/>
        <w:autoSpaceDE w:val="0"/>
        <w:autoSpaceDN w:val="0"/>
        <w:adjustRightInd w:val="0"/>
        <w:snapToGrid w:val="0"/>
        <w:spacing w:line="560" w:lineRule="exact"/>
        <w:ind w:left="0"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val="en-US" w:eastAsia="zh-CN"/>
        </w:rPr>
        <w:t>c.参加各种急诊外科手术。</w:t>
      </w:r>
    </w:p>
    <w:p>
      <w:pPr>
        <w:widowControl/>
        <w:autoSpaceDE w:val="0"/>
        <w:autoSpaceDN w:val="0"/>
        <w:adjustRightInd w:val="0"/>
        <w:snapToGrid w:val="0"/>
        <w:spacing w:line="560" w:lineRule="exact"/>
        <w:ind w:left="0"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(2)普通外科</w:t>
      </w:r>
      <w:r>
        <w:rPr>
          <w:rFonts w:hint="eastAsia" w:ascii="仿宋_GB2312" w:hAnsi="Helvetica" w:eastAsia="仿宋_GB2312" w:cs="Helvetica"/>
          <w:color w:val="auto"/>
          <w:kern w:val="0"/>
          <w:sz w:val="32"/>
          <w:szCs w:val="32"/>
          <w:highlight w:val="none"/>
        </w:rPr>
        <w:t>(</w:t>
      </w:r>
      <w:r>
        <w:rPr>
          <w:rFonts w:hint="eastAsia" w:ascii="仿宋_GB2312" w:hAnsi="Helvetica" w:eastAsia="仿宋_GB2312" w:cs="Helvetica"/>
          <w:color w:val="auto"/>
          <w:kern w:val="0"/>
          <w:sz w:val="32"/>
          <w:szCs w:val="32"/>
          <w:highlight w:val="none"/>
          <w:lang w:val="en-US" w:eastAsia="zh-CN"/>
        </w:rPr>
        <w:t>4</w:t>
      </w:r>
      <w:r>
        <w:rPr>
          <w:rFonts w:hint="eastAsia" w:ascii="仿宋_GB2312" w:hAnsi="Helvetica" w:eastAsia="仿宋_GB2312" w:cs="Helvetica"/>
          <w:color w:val="auto"/>
          <w:kern w:val="0"/>
          <w:sz w:val="32"/>
          <w:szCs w:val="32"/>
          <w:highlight w:val="none"/>
        </w:rPr>
        <w:t>个月)</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掌握：普通外科患儿的查体,普通外科患儿手术前后处理(术前医嘱、术前准备、术后医嘱)及术后并发症处理;扩肛,胆道引流管、腹腔引流管的拔除等技术。</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bidi="ar-SA"/>
        </w:rPr>
        <w:t>熟悉：普通外科各种常见病、多发病的发病机制、临床特点、诊断与鉴别诊断要点、治疗原则及随访规范;外科基本用药;常用的诊疗操作技术,如巨结肠洗肠、腹腔穿刺术等。</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bidi="ar-SA"/>
        </w:rPr>
        <w:t xml:space="preserve">了解：普通外科少见病和罕见病的临床特点、诊断与鉴别诊断及治疗原则;腹腔镜和肠镜手术或操作基本理论与基本技能;普通外科危重病人的抢救原则;特殊诊疗方法和技术,如结肠镜检查和活组织检查、排便训练等。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①病种及例数要求</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见表4。</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default" w:ascii="仿宋_GB2312" w:hAnsi="Helvetica" w:eastAsia="仿宋_GB2312" w:cs="Helvetica"/>
          <w:color w:val="auto"/>
          <w:kern w:val="0"/>
          <w:sz w:val="24"/>
          <w:szCs w:val="24"/>
          <w:highlight w:val="none"/>
        </w:rPr>
      </w:pPr>
      <w:r>
        <w:rPr>
          <w:rFonts w:hint="eastAsia" w:ascii="方正小标宋简体" w:hAnsi="宋体" w:eastAsia="方正小标宋简体" w:cs="宋体"/>
          <w:color w:val="auto"/>
          <w:kern w:val="0"/>
          <w:sz w:val="24"/>
          <w:szCs w:val="24"/>
          <w:highlight w:val="none"/>
          <w:lang w:val="en-US" w:eastAsia="zh-CN" w:bidi="ar"/>
        </w:rPr>
        <w:t>表4  病种及例数要求</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31"/>
        <w:gridCol w:w="1394"/>
        <w:gridCol w:w="3661"/>
        <w:gridCol w:w="13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1383" w:type="pct"/>
            <w:tcBorders>
              <w:top w:val="single" w:color="auto" w:sz="8" w:space="0"/>
              <w:bottom w:val="single" w:color="auto" w:sz="4" w:space="0"/>
              <w:right w:val="nil"/>
            </w:tcBorders>
            <w:vAlign w:val="center"/>
          </w:tcPr>
          <w:p>
            <w:pPr>
              <w:autoSpaceDE w:val="0"/>
              <w:autoSpaceDN w:val="0"/>
              <w:spacing w:before="0"/>
              <w:ind w:right="0" w:rightChars="0" w:firstLine="422" w:firstLineChars="200"/>
              <w:jc w:val="both"/>
              <w:rPr>
                <w:rFonts w:hint="eastAsia" w:ascii="黑体" w:hAnsi="黑体" w:eastAsia="黑体" w:cs="黑体"/>
                <w:b/>
                <w:bCs w:val="0"/>
                <w:color w:val="auto"/>
                <w:kern w:val="0"/>
                <w:position w:val="-2"/>
                <w:sz w:val="21"/>
                <w:szCs w:val="21"/>
                <w:highlight w:val="none"/>
                <w:lang w:bidi="ar"/>
              </w:rPr>
            </w:pPr>
            <w:r>
              <w:rPr>
                <w:rFonts w:hint="eastAsia" w:ascii="黑体" w:hAnsi="黑体" w:eastAsia="黑体" w:cs="黑体"/>
                <w:b/>
                <w:bCs w:val="0"/>
                <w:color w:val="auto"/>
                <w:kern w:val="0"/>
                <w:position w:val="-2"/>
                <w:sz w:val="21"/>
                <w:szCs w:val="21"/>
                <w:highlight w:val="none"/>
                <w:lang w:eastAsia="zh-CN" w:bidi="ar"/>
              </w:rPr>
              <w:t>病种</w:t>
            </w:r>
          </w:p>
        </w:tc>
        <w:tc>
          <w:tcPr>
            <w:tcW w:w="793" w:type="pct"/>
            <w:tcBorders>
              <w:top w:val="single" w:color="auto" w:sz="8" w:space="0"/>
              <w:left w:val="nil"/>
              <w:bottom w:val="single" w:color="auto" w:sz="4" w:space="0"/>
              <w:right w:val="double" w:color="auto" w:sz="4" w:space="0"/>
            </w:tcBorders>
            <w:vAlign w:val="center"/>
          </w:tcPr>
          <w:p>
            <w:pPr>
              <w:autoSpaceDE w:val="0"/>
              <w:autoSpaceDN w:val="0"/>
              <w:spacing w:before="0"/>
              <w:ind w:right="0" w:rightChars="0" w:firstLine="0" w:firstLineChars="0"/>
              <w:jc w:val="center"/>
              <w:rPr>
                <w:rFonts w:hint="eastAsia" w:ascii="黑体" w:hAnsi="黑体" w:eastAsia="黑体" w:cs="黑体"/>
                <w:b/>
                <w:bCs w:val="0"/>
                <w:color w:val="auto"/>
                <w:kern w:val="0"/>
                <w:position w:val="-2"/>
                <w:sz w:val="21"/>
                <w:szCs w:val="21"/>
                <w:highlight w:val="none"/>
                <w:lang w:bidi="ar"/>
              </w:rPr>
            </w:pPr>
            <w:r>
              <w:rPr>
                <w:rFonts w:hint="eastAsia" w:ascii="黑体" w:hAnsi="黑体" w:eastAsia="黑体" w:cs="黑体"/>
                <w:b/>
                <w:bCs w:val="0"/>
                <w:color w:val="auto"/>
                <w:kern w:val="0"/>
                <w:position w:val="-2"/>
                <w:sz w:val="21"/>
                <w:szCs w:val="21"/>
                <w:highlight w:val="none"/>
                <w:lang w:eastAsia="zh-CN" w:bidi="ar"/>
              </w:rPr>
              <w:t>最低例数</w:t>
            </w:r>
          </w:p>
        </w:tc>
        <w:tc>
          <w:tcPr>
            <w:tcW w:w="2083" w:type="pct"/>
            <w:tcBorders>
              <w:top w:val="single" w:color="auto" w:sz="8" w:space="0"/>
              <w:left w:val="double" w:color="auto" w:sz="4" w:space="0"/>
              <w:bottom w:val="single" w:color="auto" w:sz="4" w:space="0"/>
              <w:right w:val="nil"/>
            </w:tcBorders>
            <w:vAlign w:val="center"/>
          </w:tcPr>
          <w:p>
            <w:pPr>
              <w:autoSpaceDE w:val="0"/>
              <w:autoSpaceDN w:val="0"/>
              <w:spacing w:before="0"/>
              <w:ind w:right="0" w:rightChars="0" w:firstLine="422" w:firstLineChars="200"/>
              <w:jc w:val="both"/>
              <w:rPr>
                <w:rFonts w:hint="eastAsia" w:ascii="黑体" w:hAnsi="黑体" w:eastAsia="黑体" w:cs="黑体"/>
                <w:b/>
                <w:bCs w:val="0"/>
                <w:color w:val="auto"/>
                <w:kern w:val="0"/>
                <w:position w:val="-2"/>
                <w:sz w:val="21"/>
                <w:szCs w:val="21"/>
                <w:highlight w:val="none"/>
                <w:lang w:bidi="ar"/>
              </w:rPr>
            </w:pPr>
            <w:r>
              <w:rPr>
                <w:rFonts w:hint="eastAsia" w:ascii="黑体" w:hAnsi="黑体" w:eastAsia="黑体" w:cs="黑体"/>
                <w:b/>
                <w:bCs w:val="0"/>
                <w:color w:val="auto"/>
                <w:kern w:val="0"/>
                <w:position w:val="-2"/>
                <w:sz w:val="21"/>
                <w:szCs w:val="21"/>
                <w:highlight w:val="none"/>
                <w:lang w:eastAsia="zh-CN" w:bidi="ar"/>
              </w:rPr>
              <w:t>病种</w:t>
            </w:r>
          </w:p>
        </w:tc>
        <w:tc>
          <w:tcPr>
            <w:tcW w:w="740" w:type="pct"/>
            <w:tcBorders>
              <w:top w:val="single" w:color="auto" w:sz="8" w:space="0"/>
              <w:left w:val="nil"/>
              <w:bottom w:val="single" w:color="auto" w:sz="4" w:space="0"/>
            </w:tcBorders>
            <w:vAlign w:val="center"/>
          </w:tcPr>
          <w:p>
            <w:pPr>
              <w:autoSpaceDE w:val="0"/>
              <w:autoSpaceDN w:val="0"/>
              <w:spacing w:before="0"/>
              <w:ind w:right="0" w:rightChars="0" w:firstLine="0" w:firstLineChars="0"/>
              <w:jc w:val="center"/>
              <w:rPr>
                <w:rFonts w:hint="eastAsia" w:ascii="黑体" w:hAnsi="黑体" w:eastAsia="黑体" w:cs="黑体"/>
                <w:b/>
                <w:bCs w:val="0"/>
                <w:color w:val="auto"/>
                <w:kern w:val="0"/>
                <w:position w:val="-2"/>
                <w:sz w:val="21"/>
                <w:szCs w:val="21"/>
                <w:highlight w:val="none"/>
                <w:lang w:bidi="ar"/>
              </w:rPr>
            </w:pPr>
            <w:r>
              <w:rPr>
                <w:rFonts w:hint="eastAsia" w:ascii="黑体" w:hAnsi="黑体" w:eastAsia="黑体" w:cs="黑体"/>
                <w:b/>
                <w:bCs w:val="0"/>
                <w:color w:val="auto"/>
                <w:kern w:val="0"/>
                <w:position w:val="-2"/>
                <w:sz w:val="21"/>
                <w:szCs w:val="21"/>
                <w:highlight w:val="none"/>
                <w:lang w:eastAsia="zh-CN" w:bidi="ar"/>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383" w:type="pct"/>
            <w:tcBorders>
              <w:top w:val="sing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甲状舌管囊肿与瘘</w:t>
            </w:r>
          </w:p>
        </w:tc>
        <w:tc>
          <w:tcPr>
            <w:tcW w:w="793" w:type="pct"/>
            <w:tcBorders>
              <w:top w:val="single" w:color="auto" w:sz="4" w:space="0"/>
              <w:left w:val="nil"/>
              <w:bottom w:val="nil"/>
              <w:right w:val="double" w:color="auto" w:sz="4" w:space="0"/>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083" w:type="pct"/>
            <w:tcBorders>
              <w:top w:val="single" w:color="auto" w:sz="4" w:space="0"/>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小儿门静脉高压症</w:t>
            </w:r>
          </w:p>
        </w:tc>
        <w:tc>
          <w:tcPr>
            <w:tcW w:w="740" w:type="pct"/>
            <w:tcBorders>
              <w:top w:val="single" w:color="auto" w:sz="4" w:space="0"/>
              <w:left w:val="nil"/>
              <w:bottom w:val="nil"/>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3"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spacing w:val="0"/>
                <w:w w:val="100"/>
                <w:kern w:val="0"/>
                <w:sz w:val="21"/>
                <w:szCs w:val="21"/>
                <w:highlight w:val="none"/>
              </w:rPr>
              <w:t>腮源性囊肿与</w:t>
            </w:r>
            <w:r>
              <w:rPr>
                <w:rFonts w:hint="eastAsia" w:ascii="仿宋_GB2312" w:hAnsi="宋体" w:eastAsia="仿宋_GB2312" w:cs="宋体"/>
                <w:color w:val="auto"/>
                <w:w w:val="100"/>
                <w:kern w:val="0"/>
                <w:sz w:val="21"/>
                <w:szCs w:val="21"/>
                <w:highlight w:val="none"/>
              </w:rPr>
              <w:t>瘘</w:t>
            </w:r>
          </w:p>
        </w:tc>
        <w:tc>
          <w:tcPr>
            <w:tcW w:w="793" w:type="pct"/>
            <w:tcBorders>
              <w:top w:val="nil"/>
              <w:left w:val="nil"/>
              <w:bottom w:val="nil"/>
              <w:right w:val="double" w:color="auto" w:sz="4" w:space="0"/>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c>
          <w:tcPr>
            <w:tcW w:w="2083"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肠系膜囊肿</w:t>
            </w:r>
          </w:p>
        </w:tc>
        <w:tc>
          <w:tcPr>
            <w:tcW w:w="740" w:type="pct"/>
            <w:tcBorders>
              <w:top w:val="nil"/>
              <w:left w:val="nil"/>
              <w:bottom w:val="nil"/>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3"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先天性巨结肠</w:t>
            </w:r>
          </w:p>
        </w:tc>
        <w:tc>
          <w:tcPr>
            <w:tcW w:w="793" w:type="pct"/>
            <w:tcBorders>
              <w:top w:val="nil"/>
              <w:left w:val="nil"/>
              <w:bottom w:val="nil"/>
              <w:right w:val="double" w:color="auto" w:sz="4" w:space="0"/>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083"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大网膜囊肿</w:t>
            </w:r>
          </w:p>
        </w:tc>
        <w:tc>
          <w:tcPr>
            <w:tcW w:w="740" w:type="pct"/>
            <w:tcBorders>
              <w:top w:val="nil"/>
              <w:left w:val="nil"/>
              <w:bottom w:val="nil"/>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3"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直肠及结肠息肉</w:t>
            </w:r>
          </w:p>
        </w:tc>
        <w:tc>
          <w:tcPr>
            <w:tcW w:w="793" w:type="pct"/>
            <w:tcBorders>
              <w:top w:val="nil"/>
              <w:left w:val="nil"/>
              <w:bottom w:val="nil"/>
              <w:right w:val="double" w:color="auto" w:sz="4" w:space="0"/>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c>
          <w:tcPr>
            <w:tcW w:w="2083"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病理性脾切除</w:t>
            </w:r>
          </w:p>
        </w:tc>
        <w:tc>
          <w:tcPr>
            <w:tcW w:w="740" w:type="pct"/>
            <w:tcBorders>
              <w:top w:val="nil"/>
              <w:left w:val="nil"/>
              <w:bottom w:val="nil"/>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3"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肛瘘</w:t>
            </w:r>
          </w:p>
        </w:tc>
        <w:tc>
          <w:tcPr>
            <w:tcW w:w="793" w:type="pct"/>
            <w:tcBorders>
              <w:top w:val="nil"/>
              <w:left w:val="nil"/>
              <w:bottom w:val="nil"/>
              <w:right w:val="double" w:color="auto" w:sz="4" w:space="0"/>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c>
          <w:tcPr>
            <w:tcW w:w="2083"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先天性胆总管囊肿</w:t>
            </w:r>
          </w:p>
        </w:tc>
        <w:tc>
          <w:tcPr>
            <w:tcW w:w="740" w:type="pct"/>
            <w:tcBorders>
              <w:top w:val="nil"/>
              <w:left w:val="nil"/>
              <w:bottom w:val="nil"/>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3"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便秘</w:t>
            </w:r>
          </w:p>
        </w:tc>
        <w:tc>
          <w:tcPr>
            <w:tcW w:w="793" w:type="pct"/>
            <w:tcBorders>
              <w:top w:val="nil"/>
              <w:left w:val="nil"/>
              <w:bottom w:val="nil"/>
              <w:right w:val="double" w:color="auto" w:sz="4" w:space="0"/>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c>
          <w:tcPr>
            <w:tcW w:w="2083"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腹股沟斜疝</w:t>
            </w:r>
          </w:p>
        </w:tc>
        <w:tc>
          <w:tcPr>
            <w:tcW w:w="740" w:type="pct"/>
            <w:tcBorders>
              <w:top w:val="nil"/>
              <w:left w:val="nil"/>
              <w:bottom w:val="nil"/>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1383" w:type="pct"/>
            <w:tcBorders>
              <w:top w:val="nil"/>
              <w:bottom w:val="single" w:color="auto" w:sz="8" w:space="0"/>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肛门失禁</w:t>
            </w:r>
          </w:p>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肠息肉</w:t>
            </w:r>
          </w:p>
        </w:tc>
        <w:tc>
          <w:tcPr>
            <w:tcW w:w="793" w:type="pct"/>
            <w:tcBorders>
              <w:top w:val="nil"/>
              <w:left w:val="nil"/>
              <w:bottom w:val="single" w:color="auto" w:sz="8" w:space="0"/>
              <w:right w:val="double" w:color="auto" w:sz="4" w:space="0"/>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c>
          <w:tcPr>
            <w:tcW w:w="2083" w:type="pct"/>
            <w:tcBorders>
              <w:top w:val="nil"/>
              <w:left w:val="double" w:color="auto" w:sz="4" w:space="0"/>
              <w:bottom w:val="single" w:color="auto" w:sz="8" w:space="0"/>
              <w:right w:val="nil"/>
            </w:tcBorders>
            <w:vAlign w:val="center"/>
          </w:tcPr>
          <w:p>
            <w:pPr>
              <w:widowControl/>
              <w:spacing w:before="0" w:line="240" w:lineRule="auto"/>
              <w:ind w:left="0" w:leftChars="0" w:right="233" w:rightChars="111" w:firstLine="0" w:firstLineChars="0"/>
              <w:jc w:val="left"/>
              <w:rPr>
                <w:rFonts w:hint="eastAsia" w:ascii="仿宋_GB2312" w:hAnsi="宋体" w:eastAsia="仿宋_GB2312" w:cs="宋体"/>
                <w:color w:val="auto"/>
                <w:kern w:val="0"/>
                <w:sz w:val="21"/>
                <w:szCs w:val="21"/>
                <w:highlight w:val="none"/>
                <w:lang w:val="en-US" w:eastAsia="zh-CN" w:bidi="ar-SA"/>
              </w:rPr>
            </w:pPr>
            <w:r>
              <w:rPr>
                <w:rFonts w:hint="eastAsia" w:ascii="仿宋_GB2312" w:hAnsi="宋体" w:eastAsia="仿宋_GB2312" w:cs="宋体"/>
                <w:color w:val="auto"/>
                <w:kern w:val="0"/>
                <w:sz w:val="21"/>
                <w:szCs w:val="21"/>
                <w:highlight w:val="none"/>
                <w:lang w:val="en-US" w:eastAsia="zh-CN" w:bidi="ar-SA"/>
              </w:rPr>
              <w:t>卵黄管发育异常:脐茸、脐窦、脐肠瘘卵黄管囊肿、梅克尔憩室等</w:t>
            </w:r>
          </w:p>
        </w:tc>
        <w:tc>
          <w:tcPr>
            <w:tcW w:w="740" w:type="pct"/>
            <w:tcBorders>
              <w:top w:val="nil"/>
              <w:left w:val="nil"/>
              <w:bottom w:val="single" w:color="auto" w:sz="8" w:space="0"/>
            </w:tcBorders>
            <w:vAlign w:val="center"/>
          </w:tcPr>
          <w:p>
            <w:pPr>
              <w:widowControl/>
              <w:spacing w:before="0" w:line="240" w:lineRule="auto"/>
              <w:ind w:left="0"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bl>
    <w:p>
      <w:pPr>
        <w:widowControl/>
        <w:autoSpaceDE w:val="0"/>
        <w:autoSpaceDN w:val="0"/>
        <w:adjustRightInd w:val="0"/>
        <w:snapToGrid w:val="0"/>
        <w:spacing w:line="560" w:lineRule="exact"/>
        <w:ind w:firstLine="640" w:firstLineChars="200"/>
        <w:jc w:val="left"/>
        <w:rPr>
          <w:rFonts w:hint="eastAsia" w:ascii="仿宋_GB2312" w:hAnsi="Helvetica" w:eastAsia="仿宋_GB2312" w:cs="Helvetica"/>
          <w:color w:val="auto"/>
          <w:kern w:val="0"/>
          <w:sz w:val="32"/>
          <w:szCs w:val="32"/>
          <w:highlight w:val="none"/>
        </w:rPr>
      </w:pP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②</w:t>
      </w:r>
      <w:r>
        <w:rPr>
          <w:rFonts w:hint="eastAsia" w:ascii="仿宋_GB2312" w:hAnsi="Helvetica" w:eastAsia="仿宋_GB2312" w:cs="Helvetica"/>
          <w:color w:val="auto"/>
          <w:kern w:val="0"/>
          <w:sz w:val="32"/>
          <w:szCs w:val="32"/>
          <w:highlight w:val="none"/>
          <w:lang w:val="en-US" w:eastAsia="zh-CN"/>
        </w:rPr>
        <w:t>基本技能</w:t>
      </w:r>
      <w:r>
        <w:rPr>
          <w:rFonts w:hint="eastAsia" w:ascii="仿宋_GB2312" w:hAnsi="Helvetica" w:eastAsia="仿宋_GB2312" w:cs="Helvetica"/>
          <w:color w:val="auto"/>
          <w:kern w:val="0"/>
          <w:sz w:val="32"/>
          <w:szCs w:val="32"/>
          <w:highlight w:val="none"/>
        </w:rPr>
        <w:t>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a.书写住院病历不少于20份;书写入院记录不少于5份。</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在上级医师指导下完成以下手术及操作</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见表5</w:t>
      </w:r>
      <w:r>
        <w:rPr>
          <w:rFonts w:hint="eastAsia" w:ascii="仿宋_GB2312" w:hAnsi="Helvetica" w:eastAsia="仿宋_GB2312" w:cs="Helvetica"/>
          <w:color w:val="auto"/>
          <w:kern w:val="0"/>
          <w:sz w:val="32"/>
          <w:szCs w:val="32"/>
          <w:highlight w:val="none"/>
        </w:rPr>
        <w:t>。</w:t>
      </w:r>
    </w:p>
    <w:p>
      <w:pPr>
        <w:widowControl/>
        <w:autoSpaceDE w:val="0"/>
        <w:autoSpaceDN w:val="0"/>
        <w:adjustRightInd w:val="0"/>
        <w:snapToGrid w:val="0"/>
        <w:spacing w:line="560" w:lineRule="exact"/>
        <w:ind w:firstLine="640" w:firstLineChars="200"/>
        <w:jc w:val="left"/>
        <w:rPr>
          <w:rFonts w:hint="eastAsia" w:ascii="仿宋_GB2312" w:hAnsi="Helvetica" w:eastAsia="仿宋_GB2312" w:cs="Helvetica"/>
          <w:color w:val="auto"/>
          <w:kern w:val="0"/>
          <w:sz w:val="32"/>
          <w:szCs w:val="32"/>
          <w:highlight w:val="none"/>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表5  手术或操作技术种类及例数要求</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7"/>
        <w:gridCol w:w="1387"/>
        <w:gridCol w:w="2858"/>
        <w:gridCol w:w="147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3067" w:type="dxa"/>
            <w:tcBorders>
              <w:top w:val="single" w:color="auto" w:sz="8" w:space="0"/>
              <w:bottom w:val="single" w:color="auto" w:sz="4" w:space="0"/>
              <w:right w:val="nil"/>
            </w:tcBorders>
            <w:vAlign w:val="top"/>
          </w:tcPr>
          <w:p>
            <w:pPr>
              <w:autoSpaceDE w:val="0"/>
              <w:autoSpaceDN w:val="0"/>
              <w:spacing w:before="0"/>
              <w:ind w:right="0" w:rightChars="0" w:firstLine="422" w:firstLineChars="200"/>
              <w:jc w:val="both"/>
              <w:rPr>
                <w:rFonts w:hint="eastAsia" w:ascii="黑体" w:hAnsi="黑体" w:eastAsia="黑体" w:cs="黑体"/>
                <w:b/>
                <w:bCs w:val="0"/>
                <w:color w:val="auto"/>
                <w:kern w:val="0"/>
                <w:position w:val="-2"/>
                <w:sz w:val="21"/>
                <w:szCs w:val="21"/>
                <w:highlight w:val="none"/>
                <w:lang w:eastAsia="zh-CN" w:bidi="ar"/>
              </w:rPr>
            </w:pPr>
            <w:r>
              <w:rPr>
                <w:rFonts w:hint="eastAsia" w:ascii="黑体" w:hAnsi="黑体" w:eastAsia="黑体" w:cs="黑体"/>
                <w:b/>
                <w:bCs w:val="0"/>
                <w:color w:val="auto"/>
                <w:kern w:val="0"/>
                <w:position w:val="-2"/>
                <w:sz w:val="21"/>
                <w:szCs w:val="21"/>
                <w:highlight w:val="none"/>
                <w:lang w:eastAsia="zh-CN" w:bidi="ar"/>
              </w:rPr>
              <w:t xml:space="preserve">手术或技术操作 </w:t>
            </w:r>
          </w:p>
        </w:tc>
        <w:tc>
          <w:tcPr>
            <w:tcW w:w="1387" w:type="dxa"/>
            <w:tcBorders>
              <w:top w:val="single" w:color="auto" w:sz="8" w:space="0"/>
              <w:left w:val="nil"/>
              <w:bottom w:val="single" w:color="auto" w:sz="4" w:space="0"/>
              <w:right w:val="double" w:color="auto" w:sz="4" w:space="0"/>
            </w:tcBorders>
            <w:vAlign w:val="top"/>
          </w:tcPr>
          <w:p>
            <w:pPr>
              <w:autoSpaceDE w:val="0"/>
              <w:autoSpaceDN w:val="0"/>
              <w:spacing w:before="0"/>
              <w:ind w:right="0" w:rightChars="0" w:firstLine="0" w:firstLineChars="0"/>
              <w:jc w:val="both"/>
              <w:rPr>
                <w:rFonts w:hint="eastAsia" w:ascii="黑体" w:hAnsi="黑体" w:eastAsia="黑体" w:cs="黑体"/>
                <w:b/>
                <w:bCs w:val="0"/>
                <w:color w:val="auto"/>
                <w:kern w:val="0"/>
                <w:position w:val="-2"/>
                <w:sz w:val="21"/>
                <w:szCs w:val="21"/>
                <w:highlight w:val="none"/>
                <w:lang w:eastAsia="zh-CN" w:bidi="ar"/>
              </w:rPr>
            </w:pPr>
            <w:r>
              <w:rPr>
                <w:rFonts w:hint="eastAsia" w:ascii="黑体" w:hAnsi="黑体" w:eastAsia="黑体" w:cs="黑体"/>
                <w:b/>
                <w:bCs w:val="0"/>
                <w:color w:val="auto"/>
                <w:kern w:val="0"/>
                <w:position w:val="-2"/>
                <w:sz w:val="21"/>
                <w:szCs w:val="21"/>
                <w:highlight w:val="none"/>
                <w:lang w:eastAsia="zh-CN" w:bidi="ar"/>
              </w:rPr>
              <w:t>最低例数</w:t>
            </w:r>
          </w:p>
        </w:tc>
        <w:tc>
          <w:tcPr>
            <w:tcW w:w="2858" w:type="dxa"/>
            <w:tcBorders>
              <w:top w:val="single" w:color="auto" w:sz="8" w:space="0"/>
              <w:left w:val="double" w:color="auto" w:sz="4" w:space="0"/>
              <w:bottom w:val="single" w:color="auto" w:sz="4" w:space="0"/>
              <w:right w:val="nil"/>
            </w:tcBorders>
            <w:vAlign w:val="top"/>
          </w:tcPr>
          <w:p>
            <w:pPr>
              <w:autoSpaceDE w:val="0"/>
              <w:autoSpaceDN w:val="0"/>
              <w:spacing w:before="0"/>
              <w:ind w:right="0" w:rightChars="0" w:firstLine="422" w:firstLineChars="200"/>
              <w:jc w:val="both"/>
              <w:rPr>
                <w:rFonts w:hint="eastAsia" w:ascii="黑体" w:hAnsi="黑体" w:eastAsia="黑体" w:cs="黑体"/>
                <w:b/>
                <w:bCs w:val="0"/>
                <w:color w:val="auto"/>
                <w:kern w:val="0"/>
                <w:position w:val="-2"/>
                <w:sz w:val="21"/>
                <w:szCs w:val="21"/>
                <w:highlight w:val="none"/>
                <w:lang w:eastAsia="zh-CN" w:bidi="ar"/>
              </w:rPr>
            </w:pPr>
            <w:r>
              <w:rPr>
                <w:rFonts w:hint="eastAsia" w:ascii="黑体" w:hAnsi="黑体" w:eastAsia="黑体" w:cs="黑体"/>
                <w:b/>
                <w:bCs w:val="0"/>
                <w:color w:val="auto"/>
                <w:kern w:val="0"/>
                <w:position w:val="-2"/>
                <w:sz w:val="21"/>
                <w:szCs w:val="21"/>
                <w:highlight w:val="none"/>
                <w:lang w:eastAsia="zh-CN" w:bidi="ar"/>
              </w:rPr>
              <w:t xml:space="preserve">手术或技术操作 </w:t>
            </w:r>
          </w:p>
        </w:tc>
        <w:tc>
          <w:tcPr>
            <w:tcW w:w="1475" w:type="dxa"/>
            <w:tcBorders>
              <w:top w:val="single" w:color="auto" w:sz="8" w:space="0"/>
              <w:left w:val="nil"/>
              <w:bottom w:val="single" w:color="auto" w:sz="4" w:space="0"/>
            </w:tcBorders>
            <w:vAlign w:val="top"/>
          </w:tcPr>
          <w:p>
            <w:pPr>
              <w:autoSpaceDE w:val="0"/>
              <w:autoSpaceDN w:val="0"/>
              <w:spacing w:before="0"/>
              <w:ind w:right="0" w:rightChars="0" w:firstLine="0" w:firstLineChars="0"/>
              <w:jc w:val="both"/>
              <w:rPr>
                <w:rFonts w:hint="eastAsia" w:ascii="黑体" w:hAnsi="黑体" w:eastAsia="黑体" w:cs="黑体"/>
                <w:b/>
                <w:bCs w:val="0"/>
                <w:color w:val="auto"/>
                <w:kern w:val="0"/>
                <w:position w:val="-2"/>
                <w:sz w:val="21"/>
                <w:szCs w:val="21"/>
                <w:highlight w:val="none"/>
                <w:lang w:eastAsia="zh-CN" w:bidi="ar"/>
              </w:rPr>
            </w:pPr>
            <w:r>
              <w:rPr>
                <w:rFonts w:hint="eastAsia" w:ascii="黑体" w:hAnsi="黑体" w:eastAsia="黑体" w:cs="黑体"/>
                <w:b/>
                <w:bCs w:val="0"/>
                <w:color w:val="auto"/>
                <w:kern w:val="0"/>
                <w:position w:val="-2"/>
                <w:sz w:val="21"/>
                <w:szCs w:val="21"/>
                <w:highlight w:val="none"/>
                <w:lang w:eastAsia="zh-CN" w:bidi="ar"/>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3067" w:type="dxa"/>
            <w:tcBorders>
              <w:top w:val="sing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eastAsia="zh-CN"/>
              </w:rPr>
              <w:t>切开分离止血缝合操作</w:t>
            </w:r>
          </w:p>
        </w:tc>
        <w:tc>
          <w:tcPr>
            <w:tcW w:w="1387" w:type="dxa"/>
            <w:tcBorders>
              <w:top w:val="single" w:color="auto" w:sz="4" w:space="0"/>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10</w:t>
            </w:r>
          </w:p>
        </w:tc>
        <w:tc>
          <w:tcPr>
            <w:tcW w:w="2858" w:type="dxa"/>
            <w:tcBorders>
              <w:top w:val="single" w:color="auto" w:sz="4" w:space="0"/>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腹白线疝手术</w:t>
            </w:r>
          </w:p>
        </w:tc>
        <w:tc>
          <w:tcPr>
            <w:tcW w:w="1475" w:type="dxa"/>
            <w:tcBorders>
              <w:top w:val="single" w:color="auto" w:sz="4" w:space="0"/>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67"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脐窦切除术</w:t>
            </w:r>
          </w:p>
        </w:tc>
        <w:tc>
          <w:tcPr>
            <w:tcW w:w="1387" w:type="dxa"/>
            <w:tcBorders>
              <w:top w:val="nil"/>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c>
          <w:tcPr>
            <w:tcW w:w="2858" w:type="dxa"/>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肛瘘挂线术</w:t>
            </w:r>
          </w:p>
        </w:tc>
        <w:tc>
          <w:tcPr>
            <w:tcW w:w="1475" w:type="dxa"/>
            <w:tcBorders>
              <w:top w:val="nil"/>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67" w:type="dxa"/>
            <w:tcBorders>
              <w:top w:val="nil"/>
              <w:bottom w:val="single" w:color="auto" w:sz="8" w:space="0"/>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腹股沟疝疝囊高位结扎</w:t>
            </w:r>
          </w:p>
        </w:tc>
        <w:tc>
          <w:tcPr>
            <w:tcW w:w="1387" w:type="dxa"/>
            <w:tcBorders>
              <w:top w:val="nil"/>
              <w:left w:val="nil"/>
              <w:bottom w:val="single" w:color="auto" w:sz="8" w:space="0"/>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5</w:t>
            </w:r>
          </w:p>
        </w:tc>
        <w:tc>
          <w:tcPr>
            <w:tcW w:w="2858" w:type="dxa"/>
            <w:tcBorders>
              <w:top w:val="nil"/>
              <w:left w:val="double" w:color="auto" w:sz="4" w:space="0"/>
              <w:bottom w:val="single" w:color="auto" w:sz="8" w:space="0"/>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肠息肉切除</w:t>
            </w:r>
          </w:p>
        </w:tc>
        <w:tc>
          <w:tcPr>
            <w:tcW w:w="1475" w:type="dxa"/>
            <w:tcBorders>
              <w:top w:val="nil"/>
              <w:left w:val="nil"/>
              <w:bottom w:val="single" w:color="auto" w:sz="8"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c.参加所管床位患儿普通外科手术</w:t>
      </w:r>
      <w:r>
        <w:rPr>
          <w:rFonts w:hint="eastAsia" w:ascii="仿宋_GB2312" w:hAnsi="Helvetica" w:eastAsia="仿宋_GB2312" w:cs="Helvetica"/>
          <w:color w:val="auto"/>
          <w:kern w:val="0"/>
          <w:sz w:val="32"/>
          <w:szCs w:val="32"/>
          <w:highlight w:val="none"/>
        </w:rPr>
        <w:t>。</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(3)骨</w:t>
      </w:r>
      <w:r>
        <w:rPr>
          <w:rFonts w:hint="eastAsia" w:ascii="仿宋_GB2312" w:hAnsi="Helvetica" w:eastAsia="仿宋_GB2312" w:cs="Helvetica"/>
          <w:b w:val="0"/>
          <w:bCs w:val="0"/>
          <w:color w:val="auto"/>
          <w:kern w:val="0"/>
          <w:sz w:val="32"/>
          <w:szCs w:val="32"/>
          <w:highlight w:val="none"/>
        </w:rPr>
        <w:t>科(</w:t>
      </w:r>
      <w:r>
        <w:rPr>
          <w:rFonts w:hint="eastAsia" w:ascii="仿宋_GB2312" w:hAnsi="Helvetica" w:eastAsia="仿宋_GB2312" w:cs="Helvetica"/>
          <w:b w:val="0"/>
          <w:bCs w:val="0"/>
          <w:color w:val="auto"/>
          <w:kern w:val="0"/>
          <w:sz w:val="32"/>
          <w:szCs w:val="32"/>
          <w:highlight w:val="none"/>
          <w:lang w:val="en-US" w:eastAsia="zh-CN"/>
        </w:rPr>
        <w:t>4</w:t>
      </w:r>
      <w:r>
        <w:rPr>
          <w:rFonts w:hint="eastAsia" w:ascii="仿宋_GB2312" w:hAnsi="Helvetica" w:eastAsia="仿宋_GB2312" w:cs="Helvetica"/>
          <w:b w:val="0"/>
          <w:bCs w:val="0"/>
          <w:color w:val="auto"/>
          <w:kern w:val="0"/>
          <w:sz w:val="32"/>
          <w:szCs w:val="32"/>
          <w:highlight w:val="none"/>
        </w:rPr>
        <w:t>个月)</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rPr>
      </w:pPr>
      <w:r>
        <w:rPr>
          <w:rFonts w:hint="eastAsia" w:ascii="仿宋_GB2312" w:hAnsi="Helvetica" w:eastAsia="仿宋_GB2312" w:cs="Helvetica"/>
          <w:color w:val="auto"/>
          <w:kern w:val="0"/>
          <w:sz w:val="32"/>
          <w:szCs w:val="32"/>
          <w:highlight w:val="none"/>
        </w:rPr>
        <w:t>掌握：</w:t>
      </w:r>
      <w:r>
        <w:rPr>
          <w:rFonts w:hint="eastAsia" w:ascii="仿宋_GB2312" w:hAnsi="Helvetica" w:eastAsia="仿宋_GB2312" w:cs="Helvetica"/>
          <w:color w:val="auto"/>
          <w:kern w:val="0"/>
          <w:sz w:val="32"/>
          <w:szCs w:val="32"/>
          <w:highlight w:val="none"/>
          <w:lang w:val="en-US" w:eastAsia="zh-CN"/>
        </w:rPr>
        <w:t>骨外科患儿的查体,骨外科患儿手术前后处理(术前医嘱、术前准备、术后医嘱)及术后并发症处理,常见骨科创伤的初步处理;关节腔穿刺、石膏固定、石膏调整与拆除、皮牵引、骨牵引、锁骨骨折“8”字绷带固定、桡骨小头半脱位手法复位。</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val="en-US" w:eastAsia="zh-CN"/>
        </w:rPr>
        <w:t>熟悉：小儿骨科各种常见病、多发病的发病机制、临床特点、诊断与鉴别诊断要点、治疗原则及随访规范;骨科术后功能锻炼要点;常用的诊疗操作技术,如伊氏架及各种外固定支架固定术等。</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 xml:space="preserve">了解：骨科少见病和罕见病的临床特点、诊断与鉴别诊断及治疗原则;经胸或胸腹联合手术术后监护;脊柱后路矫形术后监护;复杂骨创伤的抢救及治疗;特殊诊断方法和技术,如 C型臂下骨折复位固定等。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①病种及例数</w:t>
      </w:r>
      <w:r>
        <w:rPr>
          <w:rFonts w:hint="eastAsia" w:ascii="仿宋_GB2312" w:hAnsi="Helvetica" w:eastAsia="仿宋_GB2312" w:cs="Helvetica"/>
          <w:color w:val="auto"/>
          <w:kern w:val="0"/>
          <w:sz w:val="32"/>
          <w:szCs w:val="32"/>
          <w:highlight w:val="none"/>
          <w:lang w:val="en-US" w:eastAsia="zh-CN"/>
        </w:rPr>
        <w:t>要求，见表6。</w:t>
      </w:r>
    </w:p>
    <w:p>
      <w:pPr>
        <w:widowControl/>
        <w:autoSpaceDE w:val="0"/>
        <w:autoSpaceDN w:val="0"/>
        <w:adjustRightInd w:val="0"/>
        <w:snapToGrid w:val="0"/>
        <w:spacing w:line="560" w:lineRule="exact"/>
        <w:ind w:firstLine="640" w:firstLineChars="200"/>
        <w:jc w:val="left"/>
        <w:rPr>
          <w:rFonts w:hint="eastAsia" w:ascii="仿宋_GB2312" w:hAnsi="Helvetica" w:eastAsia="仿宋_GB2312" w:cs="Helvetica"/>
          <w:color w:val="auto"/>
          <w:kern w:val="0"/>
          <w:sz w:val="32"/>
          <w:szCs w:val="32"/>
          <w:highlight w:val="none"/>
          <w:lang w:val="en-US" w:eastAsia="zh-CN"/>
        </w:rPr>
      </w:pPr>
    </w:p>
    <w:p>
      <w:pPr>
        <w:widowControl/>
        <w:numPr>
          <w:ilvl w:val="0"/>
          <w:numId w:val="0"/>
        </w:numPr>
        <w:autoSpaceDE/>
        <w:autoSpaceDN/>
        <w:spacing w:line="240" w:lineRule="auto"/>
        <w:ind w:firstLine="0" w:firstLineChars="0"/>
        <w:jc w:val="center"/>
        <w:rPr>
          <w:rFonts w:hint="default" w:ascii="方正小标宋简体" w:hAnsi="宋体" w:eastAsia="方正小标宋简体" w:cs="宋体"/>
          <w:color w:val="auto"/>
          <w:kern w:val="0"/>
          <w:sz w:val="24"/>
          <w:szCs w:val="24"/>
          <w:highlight w:val="none"/>
          <w:lang w:val="en-US" w:eastAsia="zh-CN" w:bidi="ar"/>
        </w:rPr>
      </w:pPr>
      <w:r>
        <w:rPr>
          <w:rFonts w:hint="eastAsia" w:ascii="方正小标宋简体" w:hAnsi="宋体" w:eastAsia="方正小标宋简体" w:cs="宋体"/>
          <w:color w:val="auto"/>
          <w:kern w:val="0"/>
          <w:sz w:val="24"/>
          <w:szCs w:val="24"/>
          <w:highlight w:val="none"/>
          <w:lang w:val="en-US" w:eastAsia="zh-CN" w:bidi="ar"/>
        </w:rPr>
        <w:t>表6  病种及例数要求</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7"/>
        <w:gridCol w:w="1387"/>
        <w:gridCol w:w="2858"/>
        <w:gridCol w:w="147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057" w:type="dxa"/>
            <w:tcBorders>
              <w:top w:val="single" w:color="auto" w:sz="8" w:space="0"/>
              <w:bottom w:val="single" w:color="auto" w:sz="4" w:space="0"/>
              <w:right w:val="nil"/>
            </w:tcBorders>
            <w:vAlign w:val="top"/>
          </w:tcPr>
          <w:p>
            <w:pPr>
              <w:widowControl/>
              <w:spacing w:before="0"/>
              <w:ind w:firstLine="422" w:firstLineChars="200"/>
              <w:jc w:val="left"/>
              <w:rPr>
                <w:rFonts w:hint="eastAsia" w:ascii="黑体" w:hAnsi="黑体" w:eastAsia="黑体" w:cs="黑体"/>
                <w:b/>
                <w:bCs/>
                <w:color w:val="auto"/>
                <w:kern w:val="2"/>
                <w:sz w:val="21"/>
                <w:szCs w:val="21"/>
                <w:highlight w:val="none"/>
                <w:lang w:eastAsia="zh-CN"/>
              </w:rPr>
            </w:pPr>
            <w:r>
              <w:rPr>
                <w:rFonts w:hint="eastAsia" w:ascii="黑体" w:hAnsi="黑体" w:eastAsia="黑体" w:cs="黑体"/>
                <w:b/>
                <w:bCs/>
                <w:color w:val="auto"/>
                <w:kern w:val="2"/>
                <w:sz w:val="21"/>
                <w:szCs w:val="21"/>
                <w:highlight w:val="none"/>
                <w:lang w:eastAsia="zh-CN"/>
              </w:rPr>
              <w:t>病种</w:t>
            </w:r>
          </w:p>
        </w:tc>
        <w:tc>
          <w:tcPr>
            <w:tcW w:w="1382" w:type="dxa"/>
            <w:tcBorders>
              <w:top w:val="single" w:color="auto" w:sz="8" w:space="0"/>
              <w:left w:val="nil"/>
              <w:bottom w:val="single" w:color="auto" w:sz="4" w:space="0"/>
              <w:right w:val="double" w:color="auto" w:sz="4" w:space="0"/>
            </w:tcBorders>
            <w:vAlign w:val="top"/>
          </w:tcPr>
          <w:p>
            <w:pPr>
              <w:widowControl/>
              <w:spacing w:before="0"/>
              <w:jc w:val="left"/>
              <w:rPr>
                <w:rFonts w:hint="eastAsia" w:ascii="黑体" w:hAnsi="黑体" w:eastAsia="黑体" w:cs="黑体"/>
                <w:b/>
                <w:bCs/>
                <w:color w:val="auto"/>
                <w:kern w:val="2"/>
                <w:sz w:val="21"/>
                <w:szCs w:val="21"/>
                <w:highlight w:val="none"/>
                <w:lang w:eastAsia="zh-CN"/>
              </w:rPr>
            </w:pPr>
            <w:r>
              <w:rPr>
                <w:rFonts w:hint="eastAsia" w:ascii="黑体" w:hAnsi="黑体" w:eastAsia="黑体" w:cs="黑体"/>
                <w:b/>
                <w:bCs/>
                <w:color w:val="auto"/>
                <w:kern w:val="2"/>
                <w:sz w:val="21"/>
                <w:szCs w:val="21"/>
                <w:highlight w:val="none"/>
                <w:lang w:eastAsia="zh-CN"/>
              </w:rPr>
              <w:t>最低例数</w:t>
            </w:r>
          </w:p>
        </w:tc>
        <w:tc>
          <w:tcPr>
            <w:tcW w:w="2848" w:type="dxa"/>
            <w:tcBorders>
              <w:top w:val="single" w:color="auto" w:sz="8" w:space="0"/>
              <w:left w:val="double" w:color="auto" w:sz="4" w:space="0"/>
              <w:bottom w:val="single" w:color="auto" w:sz="4" w:space="0"/>
              <w:right w:val="nil"/>
            </w:tcBorders>
            <w:vAlign w:val="top"/>
          </w:tcPr>
          <w:p>
            <w:pPr>
              <w:widowControl/>
              <w:spacing w:before="0"/>
              <w:ind w:firstLine="422" w:firstLineChars="200"/>
              <w:jc w:val="left"/>
              <w:rPr>
                <w:rFonts w:hint="eastAsia" w:ascii="黑体" w:hAnsi="黑体" w:eastAsia="黑体" w:cs="黑体"/>
                <w:b/>
                <w:bCs/>
                <w:color w:val="auto"/>
                <w:kern w:val="2"/>
                <w:sz w:val="21"/>
                <w:szCs w:val="21"/>
                <w:highlight w:val="none"/>
                <w:lang w:eastAsia="zh-CN"/>
              </w:rPr>
            </w:pPr>
            <w:r>
              <w:rPr>
                <w:rFonts w:hint="eastAsia" w:ascii="黑体" w:hAnsi="黑体" w:eastAsia="黑体" w:cs="黑体"/>
                <w:b/>
                <w:bCs/>
                <w:color w:val="auto"/>
                <w:kern w:val="2"/>
                <w:sz w:val="21"/>
                <w:szCs w:val="21"/>
                <w:highlight w:val="none"/>
                <w:lang w:eastAsia="zh-CN"/>
              </w:rPr>
              <w:t>病种</w:t>
            </w:r>
          </w:p>
        </w:tc>
        <w:tc>
          <w:tcPr>
            <w:tcW w:w="1470" w:type="dxa"/>
            <w:tcBorders>
              <w:top w:val="single" w:color="auto" w:sz="8" w:space="0"/>
              <w:left w:val="nil"/>
              <w:bottom w:val="single" w:color="auto" w:sz="4" w:space="0"/>
            </w:tcBorders>
            <w:vAlign w:val="top"/>
          </w:tcPr>
          <w:p>
            <w:pPr>
              <w:widowControl/>
              <w:spacing w:before="0"/>
              <w:jc w:val="left"/>
              <w:rPr>
                <w:rFonts w:hint="eastAsia" w:ascii="黑体" w:hAnsi="黑体" w:eastAsia="黑体" w:cs="黑体"/>
                <w:b/>
                <w:bCs/>
                <w:color w:val="auto"/>
                <w:kern w:val="2"/>
                <w:sz w:val="21"/>
                <w:szCs w:val="21"/>
                <w:highlight w:val="none"/>
                <w:lang w:eastAsia="zh-CN"/>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57" w:type="dxa"/>
            <w:tcBorders>
              <w:top w:val="sing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eastAsia="zh-CN"/>
              </w:rPr>
              <w:t>先天性肌性斜颈</w:t>
            </w:r>
          </w:p>
        </w:tc>
        <w:tc>
          <w:tcPr>
            <w:tcW w:w="1382" w:type="dxa"/>
            <w:tcBorders>
              <w:top w:val="single" w:color="auto" w:sz="4" w:space="0"/>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848" w:type="dxa"/>
            <w:tcBorders>
              <w:top w:val="single" w:color="auto" w:sz="4" w:space="0"/>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先天性马蹄内翻足</w:t>
            </w:r>
          </w:p>
        </w:tc>
        <w:tc>
          <w:tcPr>
            <w:tcW w:w="1470" w:type="dxa"/>
            <w:tcBorders>
              <w:top w:val="single" w:color="auto" w:sz="4" w:space="0"/>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57"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狭窄性腱鞘炎</w:t>
            </w:r>
          </w:p>
        </w:tc>
        <w:tc>
          <w:tcPr>
            <w:tcW w:w="1382" w:type="dxa"/>
            <w:tcBorders>
              <w:top w:val="nil"/>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848" w:type="dxa"/>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膝内翻和膝外翻</w:t>
            </w:r>
          </w:p>
        </w:tc>
        <w:tc>
          <w:tcPr>
            <w:tcW w:w="1470" w:type="dxa"/>
            <w:tcBorders>
              <w:top w:val="nil"/>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57"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桡骨小头半脱位</w:t>
            </w:r>
          </w:p>
        </w:tc>
        <w:tc>
          <w:tcPr>
            <w:tcW w:w="1382" w:type="dxa"/>
            <w:tcBorders>
              <w:top w:val="nil"/>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5</w:t>
            </w:r>
          </w:p>
        </w:tc>
        <w:tc>
          <w:tcPr>
            <w:tcW w:w="2848" w:type="dxa"/>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多指或并指畸形</w:t>
            </w:r>
          </w:p>
        </w:tc>
        <w:tc>
          <w:tcPr>
            <w:tcW w:w="1470" w:type="dxa"/>
            <w:tcBorders>
              <w:top w:val="nil"/>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57"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急性、慢性血源性骨髓炎</w:t>
            </w:r>
          </w:p>
        </w:tc>
        <w:tc>
          <w:tcPr>
            <w:tcW w:w="1382" w:type="dxa"/>
            <w:tcBorders>
              <w:top w:val="nil"/>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c>
          <w:tcPr>
            <w:tcW w:w="2848" w:type="dxa"/>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大脑性瘫痪后遗症</w:t>
            </w:r>
          </w:p>
        </w:tc>
        <w:tc>
          <w:tcPr>
            <w:tcW w:w="1470" w:type="dxa"/>
            <w:tcBorders>
              <w:top w:val="nil"/>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57"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急性化脓性关节炎</w:t>
            </w:r>
          </w:p>
        </w:tc>
        <w:tc>
          <w:tcPr>
            <w:tcW w:w="1382" w:type="dxa"/>
            <w:tcBorders>
              <w:top w:val="nil"/>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c>
          <w:tcPr>
            <w:tcW w:w="2848" w:type="dxa"/>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肢体不等长</w:t>
            </w:r>
          </w:p>
        </w:tc>
        <w:tc>
          <w:tcPr>
            <w:tcW w:w="1470" w:type="dxa"/>
            <w:tcBorders>
              <w:top w:val="nil"/>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057"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寰、枢椎半脱位</w:t>
            </w:r>
          </w:p>
        </w:tc>
        <w:tc>
          <w:tcPr>
            <w:tcW w:w="1382" w:type="dxa"/>
            <w:tcBorders>
              <w:top w:val="nil"/>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c>
          <w:tcPr>
            <w:tcW w:w="2848" w:type="dxa"/>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先天性胫骨假关节</w:t>
            </w:r>
          </w:p>
        </w:tc>
        <w:tc>
          <w:tcPr>
            <w:tcW w:w="1470" w:type="dxa"/>
            <w:tcBorders>
              <w:top w:val="nil"/>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57"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脊柱侧凸及后凸</w:t>
            </w:r>
          </w:p>
        </w:tc>
        <w:tc>
          <w:tcPr>
            <w:tcW w:w="1382" w:type="dxa"/>
            <w:tcBorders>
              <w:top w:val="nil"/>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c>
          <w:tcPr>
            <w:tcW w:w="2848" w:type="dxa"/>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骨软骨瘤</w:t>
            </w:r>
          </w:p>
        </w:tc>
        <w:tc>
          <w:tcPr>
            <w:tcW w:w="1470" w:type="dxa"/>
            <w:tcBorders>
              <w:top w:val="nil"/>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57"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四肢及锁骨骨折</w:t>
            </w:r>
          </w:p>
        </w:tc>
        <w:tc>
          <w:tcPr>
            <w:tcW w:w="1382" w:type="dxa"/>
            <w:tcBorders>
              <w:top w:val="nil"/>
              <w:left w:val="nil"/>
              <w:bottom w:val="nil"/>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5</w:t>
            </w:r>
          </w:p>
        </w:tc>
        <w:tc>
          <w:tcPr>
            <w:tcW w:w="2848" w:type="dxa"/>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病理性骨折</w:t>
            </w:r>
          </w:p>
        </w:tc>
        <w:tc>
          <w:tcPr>
            <w:tcW w:w="1470" w:type="dxa"/>
            <w:tcBorders>
              <w:top w:val="nil"/>
              <w:left w:val="nil"/>
              <w:bottom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3057" w:type="dxa"/>
            <w:tcBorders>
              <w:top w:val="nil"/>
              <w:bottom w:val="single" w:color="auto" w:sz="8" w:space="0"/>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发育性髋关节脱位</w:t>
            </w:r>
          </w:p>
        </w:tc>
        <w:tc>
          <w:tcPr>
            <w:tcW w:w="1382" w:type="dxa"/>
            <w:tcBorders>
              <w:top w:val="nil"/>
              <w:left w:val="nil"/>
              <w:bottom w:val="single" w:color="auto" w:sz="8" w:space="0"/>
              <w:right w:val="double" w:color="auto" w:sz="4"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c>
          <w:tcPr>
            <w:tcW w:w="2848" w:type="dxa"/>
            <w:tcBorders>
              <w:top w:val="nil"/>
              <w:left w:val="double" w:color="auto" w:sz="4" w:space="0"/>
              <w:bottom w:val="single" w:color="auto" w:sz="8" w:space="0"/>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p>
        </w:tc>
        <w:tc>
          <w:tcPr>
            <w:tcW w:w="1470" w:type="dxa"/>
            <w:tcBorders>
              <w:top w:val="nil"/>
              <w:left w:val="nil"/>
              <w:bottom w:val="single" w:color="auto" w:sz="8" w:space="0"/>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rPr>
            </w:pP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②</w:t>
      </w:r>
      <w:r>
        <w:rPr>
          <w:rFonts w:hint="eastAsia" w:ascii="仿宋_GB2312" w:hAnsi="Helvetica" w:eastAsia="仿宋_GB2312" w:cs="Helvetica"/>
          <w:color w:val="auto"/>
          <w:kern w:val="0"/>
          <w:sz w:val="32"/>
          <w:szCs w:val="32"/>
          <w:highlight w:val="none"/>
          <w:lang w:val="en-US" w:eastAsia="zh-CN"/>
        </w:rPr>
        <w:t>基本技能要求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 xml:space="preserve">a.书写住院病历不少于20份;书写入院记录不少于5份。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在上级医师指导下完成以下手术</w:t>
      </w:r>
      <w:r>
        <w:rPr>
          <w:rFonts w:hint="eastAsia" w:ascii="仿宋_GB2312" w:hAnsi="Helvetica" w:eastAsia="仿宋_GB2312" w:cs="Helvetica"/>
          <w:color w:val="auto"/>
          <w:kern w:val="0"/>
          <w:sz w:val="32"/>
          <w:szCs w:val="32"/>
          <w:highlight w:val="none"/>
          <w:lang w:val="en-US" w:eastAsia="zh-CN"/>
        </w:rPr>
        <w:t>或操作，见表7</w:t>
      </w:r>
      <w:r>
        <w:rPr>
          <w:rFonts w:hint="eastAsia" w:ascii="仿宋_GB2312" w:hAnsi="Helvetica" w:eastAsia="仿宋_GB2312" w:cs="Helvetica"/>
          <w:color w:val="auto"/>
          <w:kern w:val="0"/>
          <w:sz w:val="32"/>
          <w:szCs w:val="32"/>
          <w:highlight w:val="none"/>
        </w:rPr>
        <w:t>。</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 xml:space="preserve">表7  手术或操作技术种类及例数要求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31"/>
        <w:gridCol w:w="1408"/>
        <w:gridCol w:w="3467"/>
        <w:gridCol w:w="180"/>
        <w:gridCol w:w="13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31" w:type="dxa"/>
            <w:tcBorders>
              <w:top w:val="single" w:color="auto" w:sz="8" w:space="0"/>
              <w:bottom w:val="single" w:color="auto" w:sz="4" w:space="0"/>
              <w:right w:val="nil"/>
            </w:tcBorders>
            <w:vAlign w:val="top"/>
          </w:tcPr>
          <w:p>
            <w:pPr>
              <w:widowControl/>
              <w:spacing w:before="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手术或技术操作</w:t>
            </w:r>
          </w:p>
        </w:tc>
        <w:tc>
          <w:tcPr>
            <w:tcW w:w="1408" w:type="dxa"/>
            <w:tcBorders>
              <w:top w:val="single" w:color="auto" w:sz="8" w:space="0"/>
              <w:left w:val="nil"/>
              <w:bottom w:val="single" w:color="auto" w:sz="4" w:space="0"/>
              <w:right w:val="double" w:color="auto" w:sz="4" w:space="0"/>
            </w:tcBorders>
            <w:vAlign w:val="top"/>
          </w:tcPr>
          <w:p>
            <w:pPr>
              <w:widowControl/>
              <w:spacing w:before="0"/>
              <w:ind w:firstLine="0" w:firstLineChars="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3467" w:type="dxa"/>
            <w:tcBorders>
              <w:top w:val="single" w:color="auto" w:sz="8" w:space="0"/>
              <w:left w:val="double" w:color="auto" w:sz="4" w:space="0"/>
              <w:bottom w:val="single" w:color="auto" w:sz="4" w:space="0"/>
              <w:right w:val="nil"/>
            </w:tcBorders>
            <w:vAlign w:val="top"/>
          </w:tcPr>
          <w:p>
            <w:pPr>
              <w:widowControl/>
              <w:spacing w:before="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手术或技术操作</w:t>
            </w:r>
          </w:p>
        </w:tc>
        <w:tc>
          <w:tcPr>
            <w:tcW w:w="1481" w:type="dxa"/>
            <w:gridSpan w:val="2"/>
            <w:tcBorders>
              <w:top w:val="single" w:color="auto" w:sz="8" w:space="0"/>
              <w:left w:val="nil"/>
              <w:bottom w:val="single" w:color="auto" w:sz="4" w:space="0"/>
            </w:tcBorders>
            <w:vAlign w:val="top"/>
          </w:tcPr>
          <w:p>
            <w:pPr>
              <w:widowControl/>
              <w:spacing w:before="0"/>
              <w:ind w:firstLine="0" w:firstLineChars="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2431" w:type="dxa"/>
            <w:tcBorders>
              <w:top w:val="sing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狭窄性腱鞘炎松解术</w:t>
            </w:r>
          </w:p>
        </w:tc>
        <w:tc>
          <w:tcPr>
            <w:tcW w:w="1408" w:type="dxa"/>
            <w:tcBorders>
              <w:top w:val="single" w:color="auto" w:sz="4" w:space="0"/>
              <w:left w:val="nil"/>
              <w:bottom w:val="nil"/>
              <w:right w:val="double" w:color="auto" w:sz="4" w:space="0"/>
            </w:tcBorders>
            <w:vAlign w:val="top"/>
          </w:tcPr>
          <w:p>
            <w:pPr>
              <w:widowControl/>
              <w:autoSpaceDE/>
              <w:autoSpaceDN/>
              <w:spacing w:before="0" w:line="240" w:lineRule="auto"/>
              <w:ind w:left="0" w:right="233" w:rightChars="111"/>
              <w:jc w:val="center"/>
              <w:rPr>
                <w:rFonts w:hint="eastAsia" w:ascii="仿宋_GB2312" w:hAnsi="宋体" w:eastAsia="仿宋_GB2312" w:cs="宋体"/>
                <w:color w:val="auto"/>
                <w:kern w:val="0"/>
                <w:position w:val="0"/>
                <w:sz w:val="21"/>
                <w:szCs w:val="21"/>
                <w:highlight w:val="none"/>
                <w:lang w:bidi="ar"/>
              </w:rPr>
            </w:pPr>
            <w:r>
              <w:rPr>
                <w:rFonts w:hint="eastAsia" w:ascii="仿宋_GB2312" w:hAnsi="宋体" w:eastAsia="仿宋_GB2312" w:cs="宋体"/>
                <w:color w:val="auto"/>
                <w:kern w:val="0"/>
                <w:position w:val="0"/>
                <w:sz w:val="21"/>
                <w:szCs w:val="21"/>
                <w:highlight w:val="none"/>
                <w:lang w:bidi="ar"/>
              </w:rPr>
              <w:t>2</w:t>
            </w:r>
          </w:p>
        </w:tc>
        <w:tc>
          <w:tcPr>
            <w:tcW w:w="3647" w:type="dxa"/>
            <w:gridSpan w:val="2"/>
            <w:tcBorders>
              <w:top w:val="single" w:color="auto" w:sz="4" w:space="0"/>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血源性骨髓炎切开引流术</w:t>
            </w:r>
          </w:p>
        </w:tc>
        <w:tc>
          <w:tcPr>
            <w:tcW w:w="1301" w:type="dxa"/>
            <w:tcBorders>
              <w:top w:val="single" w:color="auto" w:sz="4" w:space="0"/>
              <w:left w:val="nil"/>
              <w:bottom w:val="nil"/>
            </w:tcBorders>
            <w:vAlign w:val="top"/>
          </w:tcPr>
          <w:p>
            <w:pPr>
              <w:widowControl/>
              <w:autoSpaceDE/>
              <w:autoSpaceDN/>
              <w:spacing w:before="0" w:line="240" w:lineRule="auto"/>
              <w:ind w:left="0" w:right="233" w:rightChars="111"/>
              <w:jc w:val="center"/>
              <w:rPr>
                <w:rFonts w:hint="eastAsia" w:ascii="仿宋_GB2312" w:hAnsi="宋体" w:eastAsia="仿宋_GB2312" w:cs="宋体"/>
                <w:color w:val="auto"/>
                <w:kern w:val="0"/>
                <w:position w:val="0"/>
                <w:sz w:val="21"/>
                <w:szCs w:val="21"/>
                <w:highlight w:val="none"/>
                <w:lang w:eastAsia="zh-CN" w:bidi="ar"/>
              </w:rPr>
            </w:pPr>
            <w:r>
              <w:rPr>
                <w:rFonts w:hint="eastAsia" w:ascii="仿宋_GB2312" w:hAnsi="宋体" w:eastAsia="仿宋_GB2312" w:cs="宋体"/>
                <w:color w:val="auto"/>
                <w:kern w:val="0"/>
                <w:position w:val="0"/>
                <w:sz w:val="21"/>
                <w:szCs w:val="21"/>
                <w:highlight w:val="none"/>
                <w:lang w:val="en-US" w:eastAsia="zh-CN" w:bidi="ar"/>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2431" w:type="dxa"/>
            <w:tcBorders>
              <w:top w:val="nil"/>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胸锁乳突肌切断术</w:t>
            </w:r>
          </w:p>
        </w:tc>
        <w:tc>
          <w:tcPr>
            <w:tcW w:w="1408" w:type="dxa"/>
            <w:tcBorders>
              <w:top w:val="nil"/>
              <w:left w:val="nil"/>
              <w:bottom w:val="nil"/>
              <w:right w:val="double" w:color="auto" w:sz="4" w:space="0"/>
            </w:tcBorders>
            <w:vAlign w:val="top"/>
          </w:tcPr>
          <w:p>
            <w:pPr>
              <w:widowControl/>
              <w:autoSpaceDE/>
              <w:autoSpaceDN/>
              <w:spacing w:before="0" w:line="240" w:lineRule="auto"/>
              <w:ind w:left="0" w:right="233" w:rightChars="111"/>
              <w:jc w:val="center"/>
              <w:rPr>
                <w:rFonts w:hint="eastAsia" w:ascii="仿宋_GB2312" w:hAnsi="宋体" w:eastAsia="仿宋_GB2312" w:cs="宋体"/>
                <w:color w:val="auto"/>
                <w:kern w:val="0"/>
                <w:position w:val="0"/>
                <w:sz w:val="21"/>
                <w:szCs w:val="21"/>
                <w:highlight w:val="none"/>
                <w:lang w:eastAsia="zh-CN" w:bidi="ar"/>
              </w:rPr>
            </w:pPr>
            <w:r>
              <w:rPr>
                <w:rFonts w:hint="eastAsia" w:ascii="仿宋_GB2312" w:hAnsi="宋体" w:eastAsia="仿宋_GB2312" w:cs="宋体"/>
                <w:color w:val="auto"/>
                <w:kern w:val="0"/>
                <w:position w:val="0"/>
                <w:sz w:val="21"/>
                <w:szCs w:val="21"/>
                <w:highlight w:val="none"/>
                <w:lang w:val="en-US" w:eastAsia="zh-CN" w:bidi="ar"/>
              </w:rPr>
              <w:t>2</w:t>
            </w:r>
          </w:p>
        </w:tc>
        <w:tc>
          <w:tcPr>
            <w:tcW w:w="3647" w:type="dxa"/>
            <w:gridSpan w:val="2"/>
            <w:tcBorders>
              <w:top w:val="nil"/>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常见部位骨折手法复位、外固定术</w:t>
            </w:r>
          </w:p>
        </w:tc>
        <w:tc>
          <w:tcPr>
            <w:tcW w:w="1301" w:type="dxa"/>
            <w:tcBorders>
              <w:top w:val="nil"/>
              <w:left w:val="nil"/>
              <w:bottom w:val="nil"/>
            </w:tcBorders>
            <w:vAlign w:val="top"/>
          </w:tcPr>
          <w:p>
            <w:pPr>
              <w:widowControl/>
              <w:autoSpaceDE/>
              <w:autoSpaceDN/>
              <w:spacing w:before="0" w:line="240" w:lineRule="auto"/>
              <w:ind w:left="0" w:right="233" w:rightChars="111"/>
              <w:jc w:val="center"/>
              <w:rPr>
                <w:rFonts w:hint="eastAsia" w:ascii="仿宋_GB2312" w:hAnsi="宋体" w:eastAsia="仿宋_GB2312" w:cs="宋体"/>
                <w:color w:val="auto"/>
                <w:kern w:val="0"/>
                <w:position w:val="0"/>
                <w:sz w:val="21"/>
                <w:szCs w:val="21"/>
                <w:highlight w:val="none"/>
                <w:lang w:val="en-US" w:eastAsia="zh-CN" w:bidi="ar"/>
              </w:rPr>
            </w:pPr>
            <w:r>
              <w:rPr>
                <w:rFonts w:hint="eastAsia" w:ascii="仿宋_GB2312" w:hAnsi="宋体" w:eastAsia="仿宋_GB2312" w:cs="宋体"/>
                <w:color w:val="auto"/>
                <w:kern w:val="0"/>
                <w:position w:val="0"/>
                <w:sz w:val="21"/>
                <w:szCs w:val="21"/>
                <w:highlight w:val="none"/>
                <w:lang w:val="en-US" w:eastAsia="zh-CN" w:bidi="ar"/>
              </w:rPr>
              <w:t>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jc w:val="center"/>
        </w:trPr>
        <w:tc>
          <w:tcPr>
            <w:tcW w:w="2431" w:type="dxa"/>
            <w:tcBorders>
              <w:top w:val="nil"/>
              <w:bottom w:val="single" w:color="auto" w:sz="8" w:space="0"/>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赘生指切除术</w:t>
            </w:r>
          </w:p>
        </w:tc>
        <w:tc>
          <w:tcPr>
            <w:tcW w:w="1408" w:type="dxa"/>
            <w:tcBorders>
              <w:top w:val="nil"/>
              <w:left w:val="nil"/>
              <w:bottom w:val="single" w:color="auto" w:sz="8" w:space="0"/>
              <w:right w:val="double" w:color="auto" w:sz="4" w:space="0"/>
            </w:tcBorders>
            <w:vAlign w:val="top"/>
          </w:tcPr>
          <w:p>
            <w:pPr>
              <w:widowControl/>
              <w:autoSpaceDE/>
              <w:autoSpaceDN/>
              <w:spacing w:before="0" w:line="240" w:lineRule="auto"/>
              <w:ind w:left="0" w:right="233" w:rightChars="111"/>
              <w:jc w:val="center"/>
              <w:rPr>
                <w:rFonts w:hint="eastAsia" w:ascii="仿宋_GB2312" w:hAnsi="宋体" w:eastAsia="仿宋_GB2312" w:cs="宋体"/>
                <w:color w:val="auto"/>
                <w:kern w:val="0"/>
                <w:position w:val="0"/>
                <w:sz w:val="21"/>
                <w:szCs w:val="21"/>
                <w:highlight w:val="none"/>
                <w:lang w:val="en-US" w:eastAsia="zh-CN" w:bidi="ar"/>
              </w:rPr>
            </w:pPr>
            <w:r>
              <w:rPr>
                <w:rFonts w:hint="eastAsia" w:ascii="仿宋_GB2312" w:hAnsi="宋体" w:eastAsia="仿宋_GB2312" w:cs="宋体"/>
                <w:color w:val="auto"/>
                <w:kern w:val="0"/>
                <w:position w:val="0"/>
                <w:sz w:val="21"/>
                <w:szCs w:val="21"/>
                <w:highlight w:val="none"/>
                <w:lang w:val="en-US" w:eastAsia="zh-CN" w:bidi="ar"/>
              </w:rPr>
              <w:t>2</w:t>
            </w:r>
          </w:p>
        </w:tc>
        <w:tc>
          <w:tcPr>
            <w:tcW w:w="3647" w:type="dxa"/>
            <w:gridSpan w:val="2"/>
            <w:tcBorders>
              <w:top w:val="nil"/>
              <w:left w:val="double" w:color="auto" w:sz="4" w:space="0"/>
              <w:bottom w:val="single" w:color="auto" w:sz="8" w:space="0"/>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常见部位骨牵引</w:t>
            </w:r>
          </w:p>
        </w:tc>
        <w:tc>
          <w:tcPr>
            <w:tcW w:w="1301" w:type="dxa"/>
            <w:tcBorders>
              <w:top w:val="nil"/>
              <w:left w:val="nil"/>
              <w:bottom w:val="single" w:color="auto" w:sz="8" w:space="0"/>
            </w:tcBorders>
            <w:vAlign w:val="top"/>
          </w:tcPr>
          <w:p>
            <w:pPr>
              <w:widowControl/>
              <w:autoSpaceDE/>
              <w:autoSpaceDN/>
              <w:spacing w:before="0" w:line="240" w:lineRule="auto"/>
              <w:ind w:left="0" w:right="233" w:rightChars="111"/>
              <w:jc w:val="center"/>
              <w:rPr>
                <w:rFonts w:hint="eastAsia" w:ascii="仿宋_GB2312" w:hAnsi="宋体" w:eastAsia="仿宋_GB2312" w:cs="宋体"/>
                <w:color w:val="auto"/>
                <w:kern w:val="0"/>
                <w:position w:val="0"/>
                <w:sz w:val="21"/>
                <w:szCs w:val="21"/>
                <w:highlight w:val="none"/>
                <w:lang w:val="en-US" w:eastAsia="zh-CN" w:bidi="ar"/>
              </w:rPr>
            </w:pPr>
            <w:r>
              <w:rPr>
                <w:rFonts w:hint="eastAsia" w:ascii="仿宋_GB2312" w:hAnsi="宋体" w:eastAsia="仿宋_GB2312" w:cs="宋体"/>
                <w:color w:val="auto"/>
                <w:kern w:val="0"/>
                <w:position w:val="0"/>
                <w:sz w:val="21"/>
                <w:szCs w:val="21"/>
                <w:highlight w:val="none"/>
                <w:lang w:val="en-US" w:eastAsia="zh-CN" w:bidi="ar"/>
              </w:rPr>
              <w:t>2</w:t>
            </w:r>
          </w:p>
        </w:tc>
      </w:tr>
    </w:tbl>
    <w:p>
      <w:pPr>
        <w:widowControl/>
        <w:autoSpaceDE w:val="0"/>
        <w:autoSpaceDN w:val="0"/>
        <w:adjustRightInd w:val="0"/>
        <w:snapToGrid w:val="0"/>
        <w:spacing w:before="0" w:line="560" w:lineRule="exact"/>
        <w:ind w:right="0" w:rightChars="0"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c.参加所管床位患儿骨科手术。</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(4)</w:t>
      </w:r>
      <w:r>
        <w:rPr>
          <w:rFonts w:hint="eastAsia" w:ascii="仿宋_GB2312" w:hAnsi="Helvetica" w:eastAsia="仿宋_GB2312" w:cs="Helvetica"/>
          <w:b w:val="0"/>
          <w:bCs w:val="0"/>
          <w:color w:val="auto"/>
          <w:kern w:val="0"/>
          <w:sz w:val="32"/>
          <w:szCs w:val="32"/>
          <w:highlight w:val="none"/>
        </w:rPr>
        <w:t>泌尿外科(</w:t>
      </w:r>
      <w:r>
        <w:rPr>
          <w:rFonts w:hint="eastAsia" w:ascii="仿宋_GB2312" w:hAnsi="Helvetica" w:eastAsia="仿宋_GB2312" w:cs="Helvetica"/>
          <w:b w:val="0"/>
          <w:bCs w:val="0"/>
          <w:color w:val="auto"/>
          <w:kern w:val="0"/>
          <w:sz w:val="32"/>
          <w:szCs w:val="32"/>
          <w:highlight w:val="none"/>
          <w:lang w:val="en-US" w:eastAsia="zh-CN"/>
        </w:rPr>
        <w:t>4</w:t>
      </w:r>
      <w:r>
        <w:rPr>
          <w:rFonts w:hint="eastAsia" w:ascii="仿宋_GB2312" w:hAnsi="Helvetica" w:eastAsia="仿宋_GB2312" w:cs="Helvetica"/>
          <w:b w:val="0"/>
          <w:bCs w:val="0"/>
          <w:color w:val="auto"/>
          <w:kern w:val="0"/>
          <w:sz w:val="32"/>
          <w:szCs w:val="32"/>
          <w:highlight w:val="none"/>
        </w:rPr>
        <w:t>个月)</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w:t>
      </w:r>
      <w:r>
        <w:rPr>
          <w:rFonts w:hint="eastAsia" w:ascii="仿宋_GB2312" w:hAnsi="Helvetica" w:eastAsia="仿宋_GB2312" w:cs="Helvetica"/>
          <w:color w:val="auto"/>
          <w:kern w:val="0"/>
          <w:sz w:val="32"/>
          <w:szCs w:val="32"/>
          <w:highlight w:val="none"/>
          <w:lang w:val="en-US" w:eastAsia="zh-CN"/>
        </w:rPr>
        <w:t xml:space="preserve">泌尿外科患儿的病史采集及查体,泌尿外科患儿手术前后处理(术前医嘱、术前准备、术后医嘱)及术后并发症处理;留置导尿管,包皮黏连分离术,膀胱造瘘管、肾造瘘管、尿道支架管拔除等技术。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val="en-US" w:eastAsia="zh-CN"/>
        </w:rPr>
        <w:t>熟悉：泌尿外科各种常见病、多发病的发病机制、临床特点、常用检查手段、诊断与鉴别诊断要点、治疗原则及随访规范;急性尿潴留、各种阴囊急症的初步处理;常用的诊疗操作技术,如嵌顿包茎复位、各种泌尿系造影及阅片等。</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val="en-US" w:eastAsia="zh-CN"/>
        </w:rPr>
        <w:t>了解：泌尿外科少见病和罕见病的临床特点、诊断与鉴别诊断及治疗原则;泌尿生殖系损伤的初步处理;特殊诊疗方法和技术,如膀胱镜检、尿道扩张、尿动力学检查等。</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w:t>
      </w:r>
      <w:r>
        <w:rPr>
          <w:rFonts w:hint="eastAsia" w:ascii="仿宋_GB2312" w:hAnsi="Helvetica" w:eastAsia="仿宋_GB2312" w:cs="Helvetica"/>
          <w:color w:val="auto"/>
          <w:kern w:val="0"/>
          <w:sz w:val="32"/>
          <w:szCs w:val="32"/>
          <w:highlight w:val="none"/>
          <w:lang w:val="en-US" w:eastAsia="zh-CN"/>
        </w:rPr>
        <w:t>病例要求，见表8。</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p>
    <w:p>
      <w:pPr>
        <w:widowControl/>
        <w:numPr>
          <w:ilvl w:val="0"/>
          <w:numId w:val="0"/>
        </w:numPr>
        <w:autoSpaceDE/>
        <w:autoSpaceDN/>
        <w:adjustRightInd/>
        <w:snapToGrid/>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adjustRightInd/>
        <w:snapToGrid/>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r>
        <w:rPr>
          <w:rFonts w:hint="eastAsia" w:ascii="方正小标宋简体" w:hAnsi="宋体" w:eastAsia="方正小标宋简体" w:cs="宋体"/>
          <w:color w:val="auto"/>
          <w:kern w:val="0"/>
          <w:sz w:val="24"/>
          <w:szCs w:val="24"/>
          <w:highlight w:val="none"/>
          <w:lang w:val="en-US" w:eastAsia="zh-CN" w:bidi="ar"/>
        </w:rPr>
        <w:t xml:space="preserve">表8  病种及例数要求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8"/>
        <w:gridCol w:w="1385"/>
        <w:gridCol w:w="2859"/>
        <w:gridCol w:w="147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1745" w:type="pct"/>
            <w:tcBorders>
              <w:top w:val="single" w:color="auto" w:sz="8" w:space="0"/>
              <w:bottom w:val="single" w:color="auto" w:sz="4" w:space="0"/>
              <w:right w:val="nil"/>
            </w:tcBorders>
            <w:vAlign w:val="center"/>
          </w:tcPr>
          <w:p>
            <w:pPr>
              <w:widowControl/>
              <w:spacing w:before="0"/>
              <w:ind w:firstLine="422" w:firstLineChars="200"/>
              <w:jc w:val="left"/>
              <w:rPr>
                <w:rFonts w:hint="eastAsia" w:ascii="仿宋_GB2312" w:hAnsi="宋体" w:eastAsia="仿宋_GB2312" w:cs="宋体"/>
                <w:b w:val="0"/>
                <w:bCs w:val="0"/>
                <w:color w:val="auto"/>
                <w:kern w:val="0"/>
                <w:sz w:val="21"/>
                <w:szCs w:val="21"/>
                <w:highlight w:val="none"/>
                <w:lang w:eastAsia="zh-CN"/>
              </w:rPr>
            </w:pPr>
            <w:r>
              <w:rPr>
                <w:rFonts w:hint="eastAsia" w:ascii="黑体" w:hAnsi="黑体" w:eastAsia="黑体" w:cs="黑体"/>
                <w:b/>
                <w:bCs/>
                <w:color w:val="auto"/>
                <w:kern w:val="2"/>
                <w:sz w:val="21"/>
                <w:szCs w:val="21"/>
                <w:highlight w:val="none"/>
                <w:lang w:eastAsia="zh-CN"/>
              </w:rPr>
              <w:t>病种</w:t>
            </w:r>
          </w:p>
        </w:tc>
        <w:tc>
          <w:tcPr>
            <w:tcW w:w="788" w:type="pct"/>
            <w:tcBorders>
              <w:top w:val="single" w:color="auto" w:sz="8" w:space="0"/>
              <w:left w:val="nil"/>
              <w:bottom w:val="single" w:color="auto" w:sz="4" w:space="0"/>
              <w:right w:val="double" w:color="auto" w:sz="4" w:space="0"/>
            </w:tcBorders>
            <w:vAlign w:val="center"/>
          </w:tcPr>
          <w:p>
            <w:pPr>
              <w:widowControl/>
              <w:spacing w:before="0"/>
              <w:ind w:right="233" w:rightChars="111"/>
              <w:jc w:val="left"/>
              <w:rPr>
                <w:rFonts w:hint="eastAsia" w:ascii="仿宋_GB2312" w:hAnsi="宋体" w:eastAsia="仿宋_GB2312" w:cs="宋体"/>
                <w:b w:val="0"/>
                <w:bCs w:val="0"/>
                <w:color w:val="auto"/>
                <w:kern w:val="0"/>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1626" w:type="pct"/>
            <w:tcBorders>
              <w:top w:val="single" w:color="auto" w:sz="8" w:space="0"/>
              <w:left w:val="double" w:color="auto" w:sz="4" w:space="0"/>
              <w:bottom w:val="single" w:color="auto" w:sz="4" w:space="0"/>
              <w:right w:val="nil"/>
            </w:tcBorders>
            <w:vAlign w:val="center"/>
          </w:tcPr>
          <w:p>
            <w:pPr>
              <w:widowControl/>
              <w:spacing w:before="0"/>
              <w:ind w:right="233" w:rightChars="111"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病种</w:t>
            </w:r>
          </w:p>
        </w:tc>
        <w:tc>
          <w:tcPr>
            <w:tcW w:w="839" w:type="pct"/>
            <w:tcBorders>
              <w:top w:val="single" w:color="auto" w:sz="8" w:space="0"/>
              <w:left w:val="nil"/>
              <w:bottom w:val="single" w:color="auto" w:sz="4" w:space="0"/>
            </w:tcBorders>
            <w:vAlign w:val="center"/>
          </w:tcPr>
          <w:p>
            <w:pPr>
              <w:widowControl/>
              <w:spacing w:before="0"/>
              <w:ind w:right="233" w:rightChars="111"/>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1745" w:type="pct"/>
            <w:tcBorders>
              <w:top w:val="sing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eastAsia="zh-CN"/>
              </w:rPr>
              <w:t>包茎</w:t>
            </w:r>
          </w:p>
        </w:tc>
        <w:tc>
          <w:tcPr>
            <w:tcW w:w="788" w:type="pct"/>
            <w:tcBorders>
              <w:top w:val="single" w:color="auto" w:sz="4" w:space="0"/>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c>
          <w:tcPr>
            <w:tcW w:w="1626" w:type="pct"/>
            <w:tcBorders>
              <w:top w:val="single" w:color="auto" w:sz="4" w:space="0"/>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输尿管开口异位</w:t>
            </w:r>
          </w:p>
        </w:tc>
        <w:tc>
          <w:tcPr>
            <w:tcW w:w="839" w:type="pct"/>
            <w:tcBorders>
              <w:top w:val="single" w:color="auto" w:sz="4" w:space="0"/>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5"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隐匿阴茎</w:t>
            </w:r>
          </w:p>
        </w:tc>
        <w:tc>
          <w:tcPr>
            <w:tcW w:w="788" w:type="pct"/>
            <w:tcBorders>
              <w:top w:val="nil"/>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c>
          <w:tcPr>
            <w:tcW w:w="1626"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先天性巨输尿管</w:t>
            </w:r>
          </w:p>
        </w:tc>
        <w:tc>
          <w:tcPr>
            <w:tcW w:w="839" w:type="pct"/>
            <w:tcBorders>
              <w:top w:val="nil"/>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5"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隐睾</w:t>
            </w:r>
          </w:p>
        </w:tc>
        <w:tc>
          <w:tcPr>
            <w:tcW w:w="788" w:type="pct"/>
            <w:tcBorders>
              <w:top w:val="nil"/>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c>
          <w:tcPr>
            <w:tcW w:w="1626"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阴囊急症</w:t>
            </w:r>
          </w:p>
        </w:tc>
        <w:tc>
          <w:tcPr>
            <w:tcW w:w="839" w:type="pct"/>
            <w:tcBorders>
              <w:top w:val="nil"/>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1745"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鞘膜积液</w:t>
            </w:r>
          </w:p>
        </w:tc>
        <w:tc>
          <w:tcPr>
            <w:tcW w:w="788" w:type="pct"/>
            <w:tcBorders>
              <w:top w:val="nil"/>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c>
          <w:tcPr>
            <w:tcW w:w="1626"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尿道下裂</w:t>
            </w:r>
          </w:p>
        </w:tc>
        <w:tc>
          <w:tcPr>
            <w:tcW w:w="839" w:type="pct"/>
            <w:tcBorders>
              <w:top w:val="nil"/>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5"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精索静脉曲张</w:t>
            </w:r>
          </w:p>
        </w:tc>
        <w:tc>
          <w:tcPr>
            <w:tcW w:w="788" w:type="pct"/>
            <w:tcBorders>
              <w:top w:val="nil"/>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c>
          <w:tcPr>
            <w:tcW w:w="1626"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泌尿生殖系肿瘤</w:t>
            </w:r>
          </w:p>
        </w:tc>
        <w:tc>
          <w:tcPr>
            <w:tcW w:w="839" w:type="pct"/>
            <w:tcBorders>
              <w:top w:val="nil"/>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5"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先天性肾积水</w:t>
            </w:r>
          </w:p>
        </w:tc>
        <w:tc>
          <w:tcPr>
            <w:tcW w:w="788" w:type="pct"/>
            <w:tcBorders>
              <w:top w:val="nil"/>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2</w:t>
            </w:r>
          </w:p>
        </w:tc>
        <w:tc>
          <w:tcPr>
            <w:tcW w:w="1626"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性别发育异常</w:t>
            </w:r>
          </w:p>
        </w:tc>
        <w:tc>
          <w:tcPr>
            <w:tcW w:w="839" w:type="pct"/>
            <w:tcBorders>
              <w:top w:val="nil"/>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5"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膀胱输尿管反流</w:t>
            </w:r>
          </w:p>
        </w:tc>
        <w:tc>
          <w:tcPr>
            <w:tcW w:w="788" w:type="pct"/>
            <w:tcBorders>
              <w:top w:val="nil"/>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c>
          <w:tcPr>
            <w:tcW w:w="1626"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泌尿生殖系损伤</w:t>
            </w:r>
          </w:p>
        </w:tc>
        <w:tc>
          <w:tcPr>
            <w:tcW w:w="839" w:type="pct"/>
            <w:tcBorders>
              <w:top w:val="nil"/>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5"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后尿道瓣膜症</w:t>
            </w:r>
          </w:p>
        </w:tc>
        <w:tc>
          <w:tcPr>
            <w:tcW w:w="788" w:type="pct"/>
            <w:tcBorders>
              <w:top w:val="nil"/>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c>
          <w:tcPr>
            <w:tcW w:w="1626"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尿道上裂、膀胱外翻</w:t>
            </w:r>
          </w:p>
        </w:tc>
        <w:tc>
          <w:tcPr>
            <w:tcW w:w="839" w:type="pct"/>
            <w:tcBorders>
              <w:top w:val="nil"/>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5" w:type="pct"/>
            <w:tcBorders>
              <w:top w:val="nil"/>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前尿道瓣膜及憩室</w:t>
            </w:r>
          </w:p>
        </w:tc>
        <w:tc>
          <w:tcPr>
            <w:tcW w:w="788" w:type="pct"/>
            <w:tcBorders>
              <w:top w:val="nil"/>
              <w:left w:val="nil"/>
              <w:bottom w:val="nil"/>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c>
          <w:tcPr>
            <w:tcW w:w="1626" w:type="pct"/>
            <w:tcBorders>
              <w:top w:val="nil"/>
              <w:left w:val="double" w:color="auto" w:sz="4" w:space="0"/>
              <w:bottom w:val="nil"/>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尿道狭窄</w:t>
            </w:r>
          </w:p>
        </w:tc>
        <w:tc>
          <w:tcPr>
            <w:tcW w:w="839" w:type="pct"/>
            <w:tcBorders>
              <w:top w:val="nil"/>
              <w:left w:val="nil"/>
              <w:bottom w:val="nil"/>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745" w:type="pct"/>
            <w:tcBorders>
              <w:top w:val="nil"/>
              <w:bottom w:val="single" w:color="auto" w:sz="8" w:space="0"/>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肾、输尿管重复畸形</w:t>
            </w:r>
          </w:p>
        </w:tc>
        <w:tc>
          <w:tcPr>
            <w:tcW w:w="788" w:type="pct"/>
            <w:tcBorders>
              <w:top w:val="nil"/>
              <w:left w:val="nil"/>
              <w:bottom w:val="single" w:color="auto" w:sz="8" w:space="0"/>
              <w:right w:val="double" w:color="auto" w:sz="4" w:space="0"/>
            </w:tcBorders>
            <w:vAlign w:val="center"/>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c>
          <w:tcPr>
            <w:tcW w:w="1626" w:type="pct"/>
            <w:tcBorders>
              <w:top w:val="nil"/>
              <w:left w:val="double" w:color="auto" w:sz="4" w:space="0"/>
              <w:bottom w:val="single" w:color="auto" w:sz="8" w:space="0"/>
              <w:right w:val="nil"/>
            </w:tcBorders>
            <w:vAlign w:val="center"/>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p>
        </w:tc>
        <w:tc>
          <w:tcPr>
            <w:tcW w:w="839" w:type="pct"/>
            <w:tcBorders>
              <w:top w:val="nil"/>
              <w:left w:val="nil"/>
              <w:bottom w:val="single" w:color="auto" w:sz="8" w:space="0"/>
            </w:tcBorders>
            <w:vAlign w:val="center"/>
          </w:tcPr>
          <w:p>
            <w:pPr>
              <w:widowControl/>
              <w:spacing w:before="0"/>
              <w:ind w:right="233" w:rightChars="111"/>
              <w:jc w:val="left"/>
              <w:rPr>
                <w:rFonts w:hint="eastAsia" w:ascii="仿宋_GB2312" w:hAnsi="宋体" w:eastAsia="仿宋_GB2312" w:cs="宋体"/>
                <w:color w:val="auto"/>
                <w:kern w:val="0"/>
                <w:sz w:val="21"/>
                <w:szCs w:val="21"/>
                <w:highlight w:val="none"/>
              </w:rPr>
            </w:pP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 xml:space="preserve">②临床操作技术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a.书写住院病历不少于20份;书写入院记录不少于5份。</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在上级医师指导下完成以下手术</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见表9</w:t>
      </w:r>
      <w:r>
        <w:rPr>
          <w:rFonts w:hint="eastAsia" w:ascii="仿宋_GB2312" w:hAnsi="Helvetica" w:eastAsia="仿宋_GB2312" w:cs="Helvetica"/>
          <w:color w:val="auto"/>
          <w:kern w:val="0"/>
          <w:sz w:val="32"/>
          <w:szCs w:val="32"/>
          <w:highlight w:val="none"/>
        </w:rPr>
        <w:t>。</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 xml:space="preserve">表9  手术或操作技术种类及例数要求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7"/>
        <w:gridCol w:w="1387"/>
        <w:gridCol w:w="2627"/>
        <w:gridCol w:w="170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67" w:type="dxa"/>
            <w:tcBorders>
              <w:top w:val="single" w:color="auto" w:sz="8" w:space="0"/>
              <w:bottom w:val="single" w:color="auto" w:sz="4" w:space="0"/>
              <w:right w:val="nil"/>
            </w:tcBorders>
            <w:vAlign w:val="top"/>
          </w:tcPr>
          <w:p>
            <w:pPr>
              <w:widowControl/>
              <w:spacing w:before="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手术或技术操作</w:t>
            </w:r>
          </w:p>
        </w:tc>
        <w:tc>
          <w:tcPr>
            <w:tcW w:w="1387" w:type="dxa"/>
            <w:tcBorders>
              <w:top w:val="single" w:color="auto" w:sz="8" w:space="0"/>
              <w:left w:val="nil"/>
              <w:bottom w:val="single" w:color="auto" w:sz="4" w:space="0"/>
              <w:right w:val="double" w:color="auto" w:sz="4" w:space="0"/>
            </w:tcBorders>
            <w:vAlign w:val="top"/>
          </w:tcPr>
          <w:p>
            <w:pPr>
              <w:widowControl/>
              <w:spacing w:before="0"/>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2627" w:type="dxa"/>
            <w:tcBorders>
              <w:top w:val="single" w:color="auto" w:sz="8" w:space="0"/>
              <w:left w:val="double" w:color="auto" w:sz="4" w:space="0"/>
              <w:bottom w:val="single" w:color="auto" w:sz="4" w:space="0"/>
              <w:right w:val="nil"/>
            </w:tcBorders>
            <w:vAlign w:val="top"/>
          </w:tcPr>
          <w:p>
            <w:pPr>
              <w:widowControl/>
              <w:spacing w:before="0"/>
              <w:ind w:right="233" w:rightChars="111"/>
              <w:jc w:val="left"/>
              <w:rPr>
                <w:rFonts w:hint="eastAsia" w:ascii="仿宋_GB2312" w:hAnsi="宋体" w:eastAsia="仿宋_GB2312" w:cs="宋体"/>
                <w:b w:val="0"/>
                <w:bCs w:val="0"/>
                <w:color w:val="auto"/>
                <w:kern w:val="0"/>
                <w:sz w:val="21"/>
                <w:szCs w:val="21"/>
                <w:highlight w:val="none"/>
              </w:rPr>
            </w:pPr>
            <w:r>
              <w:rPr>
                <w:rFonts w:hint="eastAsia" w:ascii="黑体" w:hAnsi="黑体" w:eastAsia="黑体" w:cs="黑体"/>
                <w:b/>
                <w:bCs/>
                <w:color w:val="auto"/>
                <w:kern w:val="2"/>
                <w:sz w:val="21"/>
                <w:szCs w:val="21"/>
                <w:highlight w:val="none"/>
                <w:lang w:eastAsia="zh-CN"/>
              </w:rPr>
              <w:t>手术或技术操作</w:t>
            </w:r>
          </w:p>
        </w:tc>
        <w:tc>
          <w:tcPr>
            <w:tcW w:w="1706" w:type="dxa"/>
            <w:tcBorders>
              <w:top w:val="single" w:color="auto" w:sz="8" w:space="0"/>
              <w:left w:val="nil"/>
              <w:bottom w:val="single" w:color="auto" w:sz="4" w:space="0"/>
            </w:tcBorders>
            <w:vAlign w:val="top"/>
          </w:tcPr>
          <w:p>
            <w:pPr>
              <w:widowControl/>
              <w:spacing w:before="0"/>
              <w:ind w:right="233" w:rightChars="111"/>
              <w:jc w:val="center"/>
              <w:rPr>
                <w:rFonts w:hint="eastAsia" w:ascii="仿宋_GB2312" w:hAnsi="宋体" w:eastAsia="仿宋_GB2312" w:cs="宋体"/>
                <w:b w:val="0"/>
                <w:bCs w:val="0"/>
                <w:color w:val="auto"/>
                <w:kern w:val="0"/>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67" w:type="dxa"/>
            <w:tcBorders>
              <w:top w:val="sing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包皮环切术</w:t>
            </w:r>
          </w:p>
        </w:tc>
        <w:tc>
          <w:tcPr>
            <w:tcW w:w="1387" w:type="dxa"/>
            <w:tcBorders>
              <w:top w:val="single" w:color="auto" w:sz="4" w:space="0"/>
              <w:left w:val="nil"/>
              <w:bottom w:val="nil"/>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c>
          <w:tcPr>
            <w:tcW w:w="2627" w:type="dxa"/>
            <w:tcBorders>
              <w:top w:val="single" w:color="auto" w:sz="4" w:space="0"/>
              <w:left w:val="double" w:color="auto" w:sz="4" w:space="0"/>
              <w:bottom w:val="nil"/>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膀胱造瘘术</w:t>
            </w:r>
          </w:p>
        </w:tc>
        <w:tc>
          <w:tcPr>
            <w:tcW w:w="1706" w:type="dxa"/>
            <w:tcBorders>
              <w:top w:val="single" w:color="auto" w:sz="4" w:space="0"/>
              <w:left w:val="nil"/>
              <w:bottom w:val="nil"/>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67" w:type="dxa"/>
            <w:tcBorders>
              <w:top w:val="nil"/>
              <w:bottom w:val="single" w:color="auto" w:sz="8" w:space="0"/>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睾丸固定术</w:t>
            </w:r>
          </w:p>
        </w:tc>
        <w:tc>
          <w:tcPr>
            <w:tcW w:w="1387" w:type="dxa"/>
            <w:tcBorders>
              <w:top w:val="nil"/>
              <w:left w:val="nil"/>
              <w:bottom w:val="single" w:color="auto" w:sz="8" w:space="0"/>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c>
          <w:tcPr>
            <w:tcW w:w="2627" w:type="dxa"/>
            <w:tcBorders>
              <w:top w:val="nil"/>
              <w:left w:val="double" w:color="auto" w:sz="4" w:space="0"/>
              <w:bottom w:val="single" w:color="auto" w:sz="8" w:space="0"/>
              <w:right w:val="nil"/>
            </w:tcBorders>
            <w:vAlign w:val="top"/>
          </w:tcPr>
          <w:p>
            <w:pPr>
              <w:widowControl/>
              <w:spacing w:before="0"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鞘状突高位结扎</w:t>
            </w:r>
          </w:p>
        </w:tc>
        <w:tc>
          <w:tcPr>
            <w:tcW w:w="1706" w:type="dxa"/>
            <w:tcBorders>
              <w:top w:val="nil"/>
              <w:left w:val="nil"/>
              <w:bottom w:val="single" w:color="auto" w:sz="8"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3</w:t>
            </w:r>
          </w:p>
        </w:tc>
      </w:tr>
    </w:tbl>
    <w:p>
      <w:pPr>
        <w:widowControl/>
        <w:autoSpaceDE w:val="0"/>
        <w:autoSpaceDN w:val="0"/>
        <w:adjustRightInd w:val="0"/>
        <w:snapToGrid w:val="0"/>
        <w:spacing w:before="176" w:line="560" w:lineRule="exact"/>
        <w:ind w:left="0" w:firstLine="640" w:firstLineChars="200"/>
        <w:jc w:val="both"/>
        <w:rPr>
          <w:rFonts w:hint="eastAsia" w:ascii="仿宋_GB2312" w:hAnsi="Helvetica" w:eastAsia="仿宋_GB2312" w:cs="Helvetica"/>
          <w:color w:val="auto"/>
          <w:kern w:val="0"/>
          <w:sz w:val="32"/>
          <w:szCs w:val="32"/>
          <w:highlight w:val="none"/>
          <w:lang w:val="en-US" w:eastAsia="zh-CN" w:bidi="ar-SA"/>
        </w:rPr>
      </w:pPr>
      <w:r>
        <w:rPr>
          <w:rFonts w:hint="eastAsia" w:ascii="仿宋_GB2312" w:hAnsi="Helvetica" w:eastAsia="仿宋_GB2312" w:cs="Helvetica"/>
          <w:color w:val="auto"/>
          <w:kern w:val="0"/>
          <w:sz w:val="32"/>
          <w:szCs w:val="32"/>
          <w:highlight w:val="none"/>
          <w:lang w:val="en-US" w:eastAsia="zh-CN"/>
        </w:rPr>
        <w:t>c.</w:t>
      </w:r>
      <w:r>
        <w:rPr>
          <w:rFonts w:hint="eastAsia" w:ascii="仿宋_GB2312" w:hAnsi="Helvetica" w:eastAsia="仿宋_GB2312" w:cs="Helvetica"/>
          <w:color w:val="auto"/>
          <w:kern w:val="0"/>
          <w:sz w:val="32"/>
          <w:szCs w:val="32"/>
          <w:highlight w:val="none"/>
          <w:lang w:val="en-US" w:eastAsia="zh-CN" w:bidi="ar-SA"/>
        </w:rPr>
        <w:t>参加所管床位患儿泌尿外科手术。</w:t>
      </w:r>
    </w:p>
    <w:p>
      <w:pPr>
        <w:widowControl/>
        <w:autoSpaceDE w:val="0"/>
        <w:autoSpaceDN w:val="0"/>
        <w:adjustRightInd w:val="0"/>
        <w:snapToGrid w:val="0"/>
        <w:spacing w:before="176" w:line="560" w:lineRule="exact"/>
        <w:ind w:left="0"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(5)新生儿</w:t>
      </w:r>
      <w:r>
        <w:rPr>
          <w:rFonts w:hint="eastAsia" w:ascii="仿宋_GB2312" w:hAnsi="Helvetica" w:eastAsia="仿宋_GB2312" w:cs="Helvetica"/>
          <w:b w:val="0"/>
          <w:bCs w:val="0"/>
          <w:color w:val="auto"/>
          <w:kern w:val="0"/>
          <w:sz w:val="32"/>
          <w:szCs w:val="32"/>
          <w:highlight w:val="none"/>
        </w:rPr>
        <w:t>外科(４个月</w:t>
      </w:r>
      <w:r>
        <w:rPr>
          <w:rFonts w:hint="eastAsia" w:ascii="仿宋_GB2312" w:hAnsi="Helvetica" w:eastAsia="仿宋_GB2312" w:cs="Helvetica"/>
          <w:b w:val="0"/>
          <w:bCs w:val="0"/>
          <w:color w:val="auto"/>
          <w:kern w:val="0"/>
          <w:sz w:val="32"/>
          <w:szCs w:val="32"/>
          <w:highlight w:val="none"/>
          <w:lang w:eastAsia="zh-CN"/>
        </w:rPr>
        <w:t>，</w:t>
      </w:r>
      <w:r>
        <w:rPr>
          <w:rFonts w:hint="eastAsia" w:ascii="仿宋_GB2312" w:hAnsi="Helvetica" w:eastAsia="仿宋_GB2312" w:cs="Helvetica"/>
          <w:b w:val="0"/>
          <w:bCs w:val="0"/>
          <w:color w:val="auto"/>
          <w:kern w:val="0"/>
          <w:sz w:val="32"/>
          <w:szCs w:val="32"/>
          <w:highlight w:val="none"/>
        </w:rPr>
        <w:t>未独立设置新生儿外科的基地培训可轮转普通外科)</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bidi="ar-SA"/>
        </w:rPr>
      </w:pPr>
      <w:r>
        <w:rPr>
          <w:rFonts w:hint="eastAsia" w:ascii="仿宋_GB2312" w:hAnsi="Helvetica" w:eastAsia="仿宋_GB2312" w:cs="Helvetica"/>
          <w:color w:val="auto"/>
          <w:kern w:val="0"/>
          <w:sz w:val="32"/>
          <w:szCs w:val="32"/>
          <w:highlight w:val="none"/>
          <w:lang w:val="en-US" w:eastAsia="zh-CN" w:bidi="ar-SA"/>
        </w:rPr>
        <w:t>掌握：新生儿外科患儿的查体,新生儿外科病儿手术前后处理(术前医嘱、术前准备、术后医嘱)及术后并发症处理;新生儿水电解质失衡的诊断及液体疗法;静脉取血、肛查等技术。</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bidi="ar-SA"/>
        </w:rPr>
      </w:pPr>
      <w:r>
        <w:rPr>
          <w:rFonts w:hint="eastAsia" w:ascii="仿宋_GB2312" w:hAnsi="Helvetica" w:eastAsia="仿宋_GB2312" w:cs="Helvetica"/>
          <w:color w:val="auto"/>
          <w:kern w:val="0"/>
          <w:sz w:val="32"/>
          <w:szCs w:val="32"/>
          <w:highlight w:val="none"/>
          <w:lang w:val="en-US" w:eastAsia="zh-CN" w:bidi="ar-SA"/>
        </w:rPr>
        <w:t>熟悉：新生儿外科各种常见病、多发病的发病机制、临床特点、诊断与鉴别诊断要点、治疗原则及随访规范;常见新生儿急症处理;常用的诊疗操作技术,如新生儿外科营养支持疗法,包括肠外营养、肠内营养、深静脉及PICC管留置等。</w:t>
      </w:r>
    </w:p>
    <w:p>
      <w:pPr>
        <w:keepNext w:val="0"/>
        <w:keepLines w:val="0"/>
        <w:widowControl/>
        <w:suppressLineNumbers w:val="0"/>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bidi="ar-SA"/>
        </w:rPr>
        <w:t xml:space="preserve">了解：新生儿外科少见病和罕见病的临床特点、诊断与鉴别诊断及治疗原则;新生儿心肺复苏;新生儿巨结肠危象;新生儿应激性溃疡;新生儿重症感染;特殊诊疗方法和技术,如直肠黏膜活检等。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val="0"/>
        <w:autoSpaceDN w:val="0"/>
        <w:adjustRightInd w:val="0"/>
        <w:snapToGrid w:val="0"/>
        <w:spacing w:line="560" w:lineRule="exact"/>
        <w:ind w:firstLine="640" w:firstLineChars="200"/>
        <w:jc w:val="both"/>
        <w:rPr>
          <w:rFonts w:hint="default"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①病种及例数要求</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见表10。</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表10  病种及例数要求</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84"/>
        <w:gridCol w:w="1275"/>
        <w:gridCol w:w="2860"/>
        <w:gridCol w:w="136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3" w:hRule="atLeast"/>
          <w:jc w:val="center"/>
        </w:trPr>
        <w:tc>
          <w:tcPr>
            <w:tcW w:w="3273" w:type="dxa"/>
            <w:tcBorders>
              <w:top w:val="single" w:color="auto" w:sz="8" w:space="0"/>
              <w:bottom w:val="single" w:color="auto" w:sz="4" w:space="0"/>
              <w:right w:val="nil"/>
            </w:tcBorders>
            <w:vAlign w:val="top"/>
          </w:tcPr>
          <w:p>
            <w:pPr>
              <w:pStyle w:val="3"/>
              <w:spacing w:line="240" w:lineRule="auto"/>
              <w:ind w:left="0" w:firstLine="422" w:firstLineChars="200"/>
              <w:jc w:val="both"/>
              <w:rPr>
                <w:rFonts w:ascii="黑体" w:hAnsi="黑体" w:eastAsia="黑体" w:cs="黑体"/>
                <w:b/>
                <w:bCs/>
                <w:color w:val="auto"/>
                <w:sz w:val="21"/>
                <w:szCs w:val="21"/>
                <w:highlight w:val="none"/>
                <w:lang w:eastAsia="zh-Hans"/>
              </w:rPr>
            </w:pPr>
            <w:r>
              <w:rPr>
                <w:rFonts w:hint="eastAsia" w:ascii="黑体" w:hAnsi="黑体" w:eastAsia="黑体" w:cs="黑体"/>
                <w:b/>
                <w:bCs/>
                <w:color w:val="auto"/>
                <w:sz w:val="21"/>
                <w:szCs w:val="21"/>
                <w:highlight w:val="none"/>
                <w:lang w:eastAsia="zh-Hans"/>
              </w:rPr>
              <w:t>病种</w:t>
            </w:r>
          </w:p>
        </w:tc>
        <w:tc>
          <w:tcPr>
            <w:tcW w:w="1271" w:type="dxa"/>
            <w:tcBorders>
              <w:top w:val="single" w:color="auto" w:sz="8" w:space="0"/>
              <w:left w:val="nil"/>
              <w:bottom w:val="single" w:color="auto" w:sz="4" w:space="0"/>
              <w:right w:val="double" w:color="auto" w:sz="4" w:space="0"/>
            </w:tcBorders>
            <w:vAlign w:val="top"/>
          </w:tcPr>
          <w:p>
            <w:pPr>
              <w:pStyle w:val="3"/>
              <w:spacing w:line="240" w:lineRule="auto"/>
              <w:ind w:left="0"/>
              <w:jc w:val="center"/>
              <w:rPr>
                <w:rFonts w:ascii="黑体" w:hAnsi="黑体" w:eastAsia="黑体" w:cs="黑体"/>
                <w:b/>
                <w:bCs/>
                <w:color w:val="auto"/>
                <w:sz w:val="21"/>
                <w:szCs w:val="21"/>
                <w:highlight w:val="none"/>
              </w:rPr>
            </w:pPr>
            <w:r>
              <w:rPr>
                <w:rFonts w:hint="eastAsia" w:ascii="黑体" w:hAnsi="黑体" w:eastAsia="黑体" w:cs="黑体"/>
                <w:b/>
                <w:bCs/>
                <w:color w:val="auto"/>
                <w:sz w:val="21"/>
                <w:szCs w:val="21"/>
                <w:highlight w:val="none"/>
                <w:lang w:eastAsia="zh-Hans"/>
              </w:rPr>
              <w:t>最低例数</w:t>
            </w:r>
          </w:p>
        </w:tc>
        <w:tc>
          <w:tcPr>
            <w:tcW w:w="2850" w:type="dxa"/>
            <w:tcBorders>
              <w:top w:val="single" w:color="auto" w:sz="8" w:space="0"/>
              <w:left w:val="double" w:color="auto" w:sz="4" w:space="0"/>
              <w:bottom w:val="single" w:color="auto" w:sz="4" w:space="0"/>
              <w:right w:val="nil"/>
            </w:tcBorders>
            <w:vAlign w:val="top"/>
          </w:tcPr>
          <w:p>
            <w:pPr>
              <w:pStyle w:val="3"/>
              <w:spacing w:line="240" w:lineRule="auto"/>
              <w:ind w:left="0" w:firstLine="422" w:firstLineChars="200"/>
              <w:jc w:val="both"/>
              <w:rPr>
                <w:rFonts w:ascii="黑体" w:hAnsi="黑体" w:eastAsia="黑体" w:cs="黑体"/>
                <w:b/>
                <w:bCs/>
                <w:color w:val="auto"/>
                <w:sz w:val="21"/>
                <w:szCs w:val="21"/>
                <w:highlight w:val="none"/>
              </w:rPr>
            </w:pPr>
            <w:r>
              <w:rPr>
                <w:rFonts w:hint="eastAsia" w:ascii="黑体" w:hAnsi="黑体" w:eastAsia="黑体" w:cs="黑体"/>
                <w:b/>
                <w:bCs/>
                <w:color w:val="auto"/>
                <w:sz w:val="21"/>
                <w:szCs w:val="21"/>
                <w:highlight w:val="none"/>
                <w:lang w:eastAsia="zh-Hans"/>
              </w:rPr>
              <w:t>病种</w:t>
            </w:r>
          </w:p>
        </w:tc>
        <w:tc>
          <w:tcPr>
            <w:tcW w:w="1363" w:type="dxa"/>
            <w:tcBorders>
              <w:top w:val="single" w:color="auto" w:sz="8" w:space="0"/>
              <w:left w:val="nil"/>
              <w:bottom w:val="single" w:color="auto" w:sz="4" w:space="0"/>
            </w:tcBorders>
            <w:vAlign w:val="top"/>
          </w:tcPr>
          <w:p>
            <w:pPr>
              <w:pStyle w:val="3"/>
              <w:spacing w:line="240" w:lineRule="auto"/>
              <w:ind w:left="0"/>
              <w:jc w:val="center"/>
              <w:rPr>
                <w:rFonts w:ascii="黑体" w:hAnsi="黑体" w:eastAsia="黑体" w:cs="黑体"/>
                <w:b/>
                <w:bCs/>
                <w:color w:val="auto"/>
                <w:sz w:val="21"/>
                <w:szCs w:val="21"/>
                <w:highlight w:val="none"/>
              </w:rPr>
            </w:pPr>
            <w:r>
              <w:rPr>
                <w:rFonts w:hint="eastAsia" w:ascii="黑体" w:hAnsi="黑体" w:eastAsia="黑体" w:cs="黑体"/>
                <w:b/>
                <w:bCs/>
                <w:color w:val="auto"/>
                <w:sz w:val="21"/>
                <w:szCs w:val="21"/>
                <w:highlight w:val="none"/>
                <w:lang w:eastAsia="zh-Hans"/>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273" w:type="dxa"/>
            <w:tcBorders>
              <w:top w:val="sing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先天性食管闭锁及气管食瘘</w:t>
            </w:r>
          </w:p>
        </w:tc>
        <w:tc>
          <w:tcPr>
            <w:tcW w:w="1271" w:type="dxa"/>
            <w:tcBorders>
              <w:top w:val="single" w:color="auto" w:sz="4" w:space="0"/>
              <w:left w:val="nil"/>
              <w:bottom w:val="nil"/>
              <w:right w:val="double" w:color="auto" w:sz="4" w:space="0"/>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1</w:t>
            </w:r>
          </w:p>
        </w:tc>
        <w:tc>
          <w:tcPr>
            <w:tcW w:w="2850" w:type="dxa"/>
            <w:tcBorders>
              <w:top w:val="single" w:color="auto" w:sz="4" w:space="0"/>
              <w:left w:val="doub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新生儿脐炎</w:t>
            </w:r>
          </w:p>
        </w:tc>
        <w:tc>
          <w:tcPr>
            <w:tcW w:w="1363" w:type="dxa"/>
            <w:tcBorders>
              <w:top w:val="single" w:color="auto" w:sz="4" w:space="0"/>
              <w:left w:val="nil"/>
              <w:bottom w:val="nil"/>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273" w:type="dxa"/>
            <w:tcBorders>
              <w:top w:val="nil"/>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先天性肥厚性幽门狭窄</w:t>
            </w:r>
          </w:p>
        </w:tc>
        <w:tc>
          <w:tcPr>
            <w:tcW w:w="1271" w:type="dxa"/>
            <w:tcBorders>
              <w:top w:val="nil"/>
              <w:left w:val="nil"/>
              <w:bottom w:val="nil"/>
              <w:right w:val="double" w:color="auto" w:sz="4" w:space="0"/>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2</w:t>
            </w:r>
          </w:p>
        </w:tc>
        <w:tc>
          <w:tcPr>
            <w:tcW w:w="2850" w:type="dxa"/>
            <w:tcBorders>
              <w:top w:val="nil"/>
              <w:left w:val="doub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产伤</w:t>
            </w:r>
          </w:p>
        </w:tc>
        <w:tc>
          <w:tcPr>
            <w:tcW w:w="1363" w:type="dxa"/>
            <w:tcBorders>
              <w:top w:val="nil"/>
              <w:left w:val="nil"/>
              <w:bottom w:val="nil"/>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273" w:type="dxa"/>
            <w:tcBorders>
              <w:top w:val="nil"/>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先天性肠旋转不良</w:t>
            </w:r>
          </w:p>
        </w:tc>
        <w:tc>
          <w:tcPr>
            <w:tcW w:w="1271" w:type="dxa"/>
            <w:tcBorders>
              <w:top w:val="nil"/>
              <w:left w:val="nil"/>
              <w:bottom w:val="nil"/>
              <w:right w:val="double" w:color="auto" w:sz="4" w:space="0"/>
            </w:tcBorders>
            <w:vAlign w:val="top"/>
          </w:tcPr>
          <w:p>
            <w:pPr>
              <w:pStyle w:val="3"/>
              <w:spacing w:line="240" w:lineRule="auto"/>
              <w:ind w:left="0"/>
              <w:jc w:val="center"/>
              <w:rPr>
                <w:rFonts w:ascii="仿宋_GB2312" w:hAnsi="仿宋_GB2312" w:eastAsia="仿宋_GB2312" w:cs="仿宋_GB2312"/>
                <w:color w:val="auto"/>
                <w:sz w:val="21"/>
                <w:szCs w:val="21"/>
                <w:highlight w:val="none"/>
              </w:rPr>
            </w:pPr>
            <w:r>
              <w:rPr>
                <w:rFonts w:ascii="仿宋_GB2312" w:hAnsi="仿宋_GB2312" w:eastAsia="仿宋_GB2312" w:cs="仿宋_GB2312"/>
                <w:color w:val="auto"/>
                <w:sz w:val="21"/>
                <w:szCs w:val="21"/>
                <w:highlight w:val="none"/>
              </w:rPr>
              <w:t>1</w:t>
            </w:r>
          </w:p>
        </w:tc>
        <w:tc>
          <w:tcPr>
            <w:tcW w:w="2850" w:type="dxa"/>
            <w:tcBorders>
              <w:top w:val="nil"/>
              <w:left w:val="doub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新生儿出血性坏死性肠炎</w:t>
            </w:r>
          </w:p>
        </w:tc>
        <w:tc>
          <w:tcPr>
            <w:tcW w:w="1363" w:type="dxa"/>
            <w:tcBorders>
              <w:top w:val="nil"/>
              <w:left w:val="nil"/>
              <w:bottom w:val="nil"/>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273" w:type="dxa"/>
            <w:tcBorders>
              <w:top w:val="nil"/>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先天性肠闭锁及肠狭窄</w:t>
            </w:r>
          </w:p>
        </w:tc>
        <w:tc>
          <w:tcPr>
            <w:tcW w:w="1271" w:type="dxa"/>
            <w:tcBorders>
              <w:top w:val="nil"/>
              <w:left w:val="nil"/>
              <w:bottom w:val="nil"/>
              <w:right w:val="double" w:color="auto" w:sz="4" w:space="0"/>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1</w:t>
            </w:r>
          </w:p>
        </w:tc>
        <w:tc>
          <w:tcPr>
            <w:tcW w:w="2850" w:type="dxa"/>
            <w:tcBorders>
              <w:top w:val="nil"/>
              <w:left w:val="doub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环形胰腺</w:t>
            </w:r>
          </w:p>
        </w:tc>
        <w:tc>
          <w:tcPr>
            <w:tcW w:w="1363" w:type="dxa"/>
            <w:tcBorders>
              <w:top w:val="nil"/>
              <w:left w:val="nil"/>
              <w:bottom w:val="nil"/>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273" w:type="dxa"/>
            <w:tcBorders>
              <w:top w:val="nil"/>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先天性巨结肠</w:t>
            </w:r>
          </w:p>
        </w:tc>
        <w:tc>
          <w:tcPr>
            <w:tcW w:w="1271" w:type="dxa"/>
            <w:tcBorders>
              <w:top w:val="nil"/>
              <w:left w:val="nil"/>
              <w:bottom w:val="nil"/>
              <w:right w:val="double" w:color="auto" w:sz="4" w:space="0"/>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2</w:t>
            </w:r>
          </w:p>
        </w:tc>
        <w:tc>
          <w:tcPr>
            <w:tcW w:w="2850" w:type="dxa"/>
            <w:tcBorders>
              <w:top w:val="nil"/>
              <w:left w:val="doub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先天性膈疝</w:t>
            </w:r>
          </w:p>
        </w:tc>
        <w:tc>
          <w:tcPr>
            <w:tcW w:w="1363" w:type="dxa"/>
            <w:tcBorders>
              <w:top w:val="nil"/>
              <w:left w:val="nil"/>
              <w:bottom w:val="nil"/>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273" w:type="dxa"/>
            <w:tcBorders>
              <w:top w:val="nil"/>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先天性直肠肛门畸形</w:t>
            </w:r>
          </w:p>
        </w:tc>
        <w:tc>
          <w:tcPr>
            <w:tcW w:w="1271" w:type="dxa"/>
            <w:tcBorders>
              <w:top w:val="nil"/>
              <w:left w:val="nil"/>
              <w:bottom w:val="nil"/>
              <w:right w:val="double" w:color="auto" w:sz="4" w:space="0"/>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4</w:t>
            </w:r>
          </w:p>
        </w:tc>
        <w:tc>
          <w:tcPr>
            <w:tcW w:w="2850" w:type="dxa"/>
            <w:tcBorders>
              <w:top w:val="nil"/>
              <w:left w:val="doub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新生儿消化道穿孔</w:t>
            </w:r>
          </w:p>
        </w:tc>
        <w:tc>
          <w:tcPr>
            <w:tcW w:w="1363" w:type="dxa"/>
            <w:tcBorders>
              <w:top w:val="nil"/>
              <w:left w:val="nil"/>
              <w:bottom w:val="nil"/>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273" w:type="dxa"/>
            <w:tcBorders>
              <w:top w:val="nil"/>
              <w:bottom w:val="nil"/>
              <w:right w:val="nil"/>
            </w:tcBorders>
            <w:vAlign w:val="top"/>
          </w:tcPr>
          <w:p>
            <w:pPr>
              <w:widowControl/>
              <w:spacing w:line="240" w:lineRule="auto"/>
              <w:ind w:right="233" w:rightChars="111"/>
              <w:jc w:val="left"/>
              <w:rPr>
                <w:rFonts w:hint="eastAsia" w:ascii="仿宋_GB2312" w:hAnsi="宋体" w:eastAsia="仿宋_GB2312" w:cs="宋体"/>
                <w:color w:val="auto"/>
                <w:kern w:val="0"/>
                <w:sz w:val="21"/>
                <w:szCs w:val="21"/>
                <w:highlight w:val="none"/>
                <w:lang w:val="en-US" w:eastAsia="zh-CN" w:bidi="ar-SA"/>
              </w:rPr>
            </w:pPr>
            <w:r>
              <w:rPr>
                <w:rFonts w:hint="eastAsia" w:ascii="仿宋_GB2312" w:hAnsi="宋体" w:eastAsia="仿宋_GB2312" w:cs="宋体"/>
                <w:color w:val="auto"/>
                <w:kern w:val="0"/>
                <w:sz w:val="21"/>
                <w:szCs w:val="21"/>
                <w:highlight w:val="none"/>
                <w:lang w:val="en-US" w:eastAsia="zh-CN" w:bidi="ar-SA"/>
              </w:rPr>
              <w:t>脐膨出和腹裂</w:t>
            </w:r>
          </w:p>
        </w:tc>
        <w:tc>
          <w:tcPr>
            <w:tcW w:w="1271" w:type="dxa"/>
            <w:tcBorders>
              <w:top w:val="nil"/>
              <w:left w:val="nil"/>
              <w:bottom w:val="nil"/>
              <w:right w:val="double" w:color="auto" w:sz="4" w:space="0"/>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1</w:t>
            </w:r>
          </w:p>
        </w:tc>
        <w:tc>
          <w:tcPr>
            <w:tcW w:w="2850" w:type="dxa"/>
            <w:tcBorders>
              <w:top w:val="nil"/>
              <w:left w:val="doub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腹膜炎</w:t>
            </w:r>
          </w:p>
        </w:tc>
        <w:tc>
          <w:tcPr>
            <w:tcW w:w="1363" w:type="dxa"/>
            <w:tcBorders>
              <w:top w:val="nil"/>
              <w:left w:val="nil"/>
              <w:bottom w:val="nil"/>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273" w:type="dxa"/>
            <w:tcBorders>
              <w:top w:val="nil"/>
              <w:bottom w:val="single" w:color="auto" w:sz="8" w:space="0"/>
              <w:right w:val="nil"/>
            </w:tcBorders>
            <w:vAlign w:val="top"/>
          </w:tcPr>
          <w:p>
            <w:pPr>
              <w:widowControl/>
              <w:spacing w:line="240" w:lineRule="auto"/>
              <w:ind w:right="233" w:rightChars="111"/>
              <w:jc w:val="left"/>
              <w:rPr>
                <w:rFonts w:hint="eastAsia" w:ascii="仿宋_GB2312" w:hAnsi="宋体" w:eastAsia="仿宋_GB2312" w:cs="宋体"/>
                <w:color w:val="auto"/>
                <w:kern w:val="0"/>
                <w:sz w:val="21"/>
                <w:szCs w:val="21"/>
                <w:highlight w:val="none"/>
                <w:lang w:val="en-US" w:eastAsia="zh-CN" w:bidi="ar-SA"/>
              </w:rPr>
            </w:pPr>
            <w:r>
              <w:rPr>
                <w:rFonts w:hint="eastAsia" w:ascii="仿宋_GB2312" w:hAnsi="宋体" w:eastAsia="仿宋_GB2312" w:cs="宋体"/>
                <w:color w:val="auto"/>
                <w:kern w:val="0"/>
                <w:sz w:val="21"/>
                <w:szCs w:val="21"/>
                <w:highlight w:val="none"/>
                <w:lang w:val="en-US" w:eastAsia="zh-CN" w:bidi="ar-SA"/>
              </w:rPr>
              <w:t>胆道闭锁</w:t>
            </w:r>
          </w:p>
        </w:tc>
        <w:tc>
          <w:tcPr>
            <w:tcW w:w="1271" w:type="dxa"/>
            <w:tcBorders>
              <w:top w:val="nil"/>
              <w:left w:val="nil"/>
              <w:bottom w:val="single" w:color="auto" w:sz="8" w:space="0"/>
              <w:right w:val="double" w:color="auto" w:sz="4" w:space="0"/>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w:t>
            </w:r>
          </w:p>
        </w:tc>
        <w:tc>
          <w:tcPr>
            <w:tcW w:w="2850" w:type="dxa"/>
            <w:tcBorders>
              <w:top w:val="nil"/>
              <w:left w:val="double" w:color="auto" w:sz="4" w:space="0"/>
              <w:bottom w:val="single" w:color="auto" w:sz="8" w:space="0"/>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p>
        </w:tc>
        <w:tc>
          <w:tcPr>
            <w:tcW w:w="1363" w:type="dxa"/>
            <w:tcBorders>
              <w:top w:val="nil"/>
              <w:left w:val="nil"/>
              <w:bottom w:val="single" w:color="auto" w:sz="8" w:space="0"/>
            </w:tcBorders>
            <w:vAlign w:val="top"/>
          </w:tcPr>
          <w:p>
            <w:pPr>
              <w:pStyle w:val="3"/>
              <w:spacing w:line="240" w:lineRule="auto"/>
              <w:ind w:left="0"/>
              <w:jc w:val="center"/>
              <w:rPr>
                <w:rFonts w:hint="eastAsia" w:ascii="仿宋_GB2312" w:hAnsi="仿宋_GB2312" w:eastAsia="仿宋_GB2312" w:cs="仿宋_GB2312"/>
                <w:color w:val="auto"/>
                <w:sz w:val="21"/>
                <w:szCs w:val="21"/>
                <w:highlight w:val="none"/>
              </w:rPr>
            </w:pP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②</w:t>
      </w:r>
      <w:r>
        <w:rPr>
          <w:rFonts w:hint="eastAsia" w:ascii="仿宋_GB2312" w:hAnsi="Helvetica" w:eastAsia="仿宋_GB2312" w:cs="Helvetica"/>
          <w:color w:val="auto"/>
          <w:kern w:val="0"/>
          <w:sz w:val="32"/>
          <w:szCs w:val="32"/>
          <w:highlight w:val="none"/>
          <w:lang w:val="en-US" w:eastAsia="zh-CN"/>
        </w:rPr>
        <w:t>基本技能要求</w:t>
      </w:r>
      <w:r>
        <w:rPr>
          <w:rFonts w:hint="eastAsia" w:ascii="仿宋_GB2312" w:hAnsi="Helvetica" w:eastAsia="仿宋_GB2312" w:cs="Helvetica"/>
          <w:color w:val="auto"/>
          <w:kern w:val="0"/>
          <w:sz w:val="32"/>
          <w:szCs w:val="32"/>
          <w:highlight w:val="none"/>
        </w:rPr>
        <w:t xml:space="preserve">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a.</w:t>
      </w:r>
      <w:r>
        <w:rPr>
          <w:rFonts w:hint="eastAsia" w:ascii="仿宋_GB2312" w:hAnsi="Helvetica" w:eastAsia="仿宋_GB2312" w:cs="Helvetica"/>
          <w:color w:val="auto"/>
          <w:kern w:val="0"/>
          <w:sz w:val="32"/>
          <w:szCs w:val="32"/>
          <w:highlight w:val="none"/>
        </w:rPr>
        <w:t>书写住院病历不少于20份,书写</w:t>
      </w:r>
      <w:r>
        <w:rPr>
          <w:rFonts w:hint="eastAsia" w:ascii="仿宋_GB2312" w:hAnsi="Helvetica" w:eastAsia="仿宋_GB2312" w:cs="Helvetica"/>
          <w:color w:val="auto"/>
          <w:kern w:val="0"/>
          <w:sz w:val="32"/>
          <w:szCs w:val="32"/>
          <w:highlight w:val="none"/>
          <w:lang w:val="en-US" w:eastAsia="zh-CN"/>
        </w:rPr>
        <w:t>入院记录</w:t>
      </w:r>
      <w:r>
        <w:rPr>
          <w:rFonts w:hint="eastAsia" w:ascii="仿宋_GB2312" w:hAnsi="Helvetica" w:eastAsia="仿宋_GB2312" w:cs="Helvetica"/>
          <w:color w:val="auto"/>
          <w:kern w:val="0"/>
          <w:sz w:val="32"/>
          <w:szCs w:val="32"/>
          <w:highlight w:val="none"/>
        </w:rPr>
        <w:t>不少于</w:t>
      </w:r>
      <w:r>
        <w:rPr>
          <w:rFonts w:hint="eastAsia" w:ascii="仿宋_GB2312" w:hAnsi="Helvetica" w:eastAsia="仿宋_GB2312" w:cs="Helvetica"/>
          <w:color w:val="auto"/>
          <w:kern w:val="0"/>
          <w:sz w:val="32"/>
          <w:szCs w:val="32"/>
          <w:highlight w:val="none"/>
          <w:lang w:val="en-US" w:eastAsia="zh-CN"/>
        </w:rPr>
        <w:t>5</w:t>
      </w:r>
      <w:r>
        <w:rPr>
          <w:rFonts w:hint="eastAsia" w:ascii="仿宋_GB2312" w:hAnsi="Helvetica" w:eastAsia="仿宋_GB2312" w:cs="Helvetica"/>
          <w:color w:val="auto"/>
          <w:kern w:val="0"/>
          <w:sz w:val="32"/>
          <w:szCs w:val="32"/>
          <w:highlight w:val="none"/>
        </w:rPr>
        <w:t>份。</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在上级医师指导下完成以下手术</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见表11</w:t>
      </w:r>
      <w:r>
        <w:rPr>
          <w:rFonts w:hint="eastAsia" w:ascii="仿宋_GB2312" w:hAnsi="Helvetica" w:eastAsia="仿宋_GB2312" w:cs="Helvetica"/>
          <w:color w:val="auto"/>
          <w:kern w:val="0"/>
          <w:sz w:val="32"/>
          <w:szCs w:val="32"/>
          <w:highlight w:val="none"/>
        </w:rPr>
        <w:t>。</w:t>
      </w:r>
    </w:p>
    <w:p>
      <w:pPr>
        <w:widowControl/>
        <w:autoSpaceDE w:val="0"/>
        <w:autoSpaceDN w:val="0"/>
        <w:adjustRightInd w:val="0"/>
        <w:snapToGrid w:val="0"/>
        <w:spacing w:line="560" w:lineRule="exact"/>
        <w:ind w:firstLine="640" w:firstLineChars="200"/>
        <w:jc w:val="left"/>
        <w:rPr>
          <w:rFonts w:hint="eastAsia" w:ascii="仿宋_GB2312" w:hAnsi="Helvetica" w:eastAsia="仿宋_GB2312" w:cs="Helvetica"/>
          <w:color w:val="auto"/>
          <w:kern w:val="0"/>
          <w:sz w:val="32"/>
          <w:szCs w:val="32"/>
          <w:highlight w:val="none"/>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表11  手术或操作技术种类及例数要求</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5"/>
        <w:gridCol w:w="1388"/>
        <w:gridCol w:w="2858"/>
        <w:gridCol w:w="14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67" w:type="dxa"/>
            <w:tcBorders>
              <w:top w:val="single" w:color="auto" w:sz="8" w:space="0"/>
              <w:bottom w:val="single" w:color="auto" w:sz="4" w:space="0"/>
              <w:right w:val="nil"/>
            </w:tcBorders>
            <w:vAlign w:val="top"/>
          </w:tcPr>
          <w:p>
            <w:pPr>
              <w:widowControl/>
              <w:spacing w:line="240" w:lineRule="auto"/>
              <w:ind w:right="233" w:rightChars="111" w:firstLine="422" w:firstLineChars="200"/>
              <w:jc w:val="left"/>
              <w:rPr>
                <w:rFonts w:hint="eastAsia" w:ascii="仿宋_GB2312" w:hAnsi="宋体" w:eastAsia="仿宋_GB2312" w:cs="宋体"/>
                <w:b w:val="0"/>
                <w:bCs w:val="0"/>
                <w:color w:val="auto"/>
                <w:kern w:val="0"/>
                <w:sz w:val="21"/>
                <w:szCs w:val="21"/>
                <w:highlight w:val="none"/>
              </w:rPr>
            </w:pPr>
            <w:r>
              <w:rPr>
                <w:rFonts w:hint="eastAsia" w:ascii="黑体" w:hAnsi="黑体" w:eastAsia="黑体" w:cs="黑体"/>
                <w:b/>
                <w:bCs/>
                <w:color w:val="auto"/>
                <w:kern w:val="2"/>
                <w:sz w:val="21"/>
                <w:szCs w:val="21"/>
                <w:highlight w:val="none"/>
                <w:lang w:eastAsia="zh-CN"/>
              </w:rPr>
              <w:t>手术或技术操作</w:t>
            </w:r>
          </w:p>
        </w:tc>
        <w:tc>
          <w:tcPr>
            <w:tcW w:w="1343" w:type="dxa"/>
            <w:tcBorders>
              <w:top w:val="single" w:color="auto" w:sz="8" w:space="0"/>
              <w:left w:val="nil"/>
              <w:bottom w:val="single" w:color="auto" w:sz="4" w:space="0"/>
              <w:right w:val="double" w:color="auto" w:sz="4" w:space="0"/>
            </w:tcBorders>
            <w:vAlign w:val="top"/>
          </w:tcPr>
          <w:p>
            <w:pPr>
              <w:widowControl/>
              <w:spacing w:line="240" w:lineRule="auto"/>
              <w:ind w:right="233" w:rightChars="111"/>
              <w:jc w:val="center"/>
              <w:rPr>
                <w:rFonts w:hint="eastAsia" w:ascii="仿宋_GB2312" w:hAnsi="宋体" w:eastAsia="仿宋_GB2312" w:cs="宋体"/>
                <w:b w:val="0"/>
                <w:bCs w:val="0"/>
                <w:color w:val="auto"/>
                <w:kern w:val="0"/>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2766" w:type="dxa"/>
            <w:tcBorders>
              <w:top w:val="single" w:color="auto" w:sz="8" w:space="0"/>
              <w:left w:val="double" w:color="auto" w:sz="4" w:space="0"/>
              <w:bottom w:val="single" w:color="auto" w:sz="4" w:space="0"/>
              <w:right w:val="nil"/>
            </w:tcBorders>
            <w:vAlign w:val="top"/>
          </w:tcPr>
          <w:p>
            <w:pPr>
              <w:widowControl/>
              <w:spacing w:line="240" w:lineRule="auto"/>
              <w:ind w:right="233" w:rightChars="111" w:firstLine="422" w:firstLineChars="200"/>
              <w:jc w:val="left"/>
              <w:rPr>
                <w:rFonts w:hint="eastAsia" w:ascii="仿宋_GB2312" w:hAnsi="宋体" w:eastAsia="仿宋_GB2312" w:cs="宋体"/>
                <w:b w:val="0"/>
                <w:bCs w:val="0"/>
                <w:color w:val="auto"/>
                <w:kern w:val="0"/>
                <w:sz w:val="21"/>
                <w:szCs w:val="21"/>
                <w:highlight w:val="none"/>
              </w:rPr>
            </w:pPr>
            <w:r>
              <w:rPr>
                <w:rFonts w:hint="eastAsia" w:ascii="黑体" w:hAnsi="黑体" w:eastAsia="黑体" w:cs="黑体"/>
                <w:b/>
                <w:bCs/>
                <w:color w:val="auto"/>
                <w:kern w:val="2"/>
                <w:sz w:val="21"/>
                <w:szCs w:val="21"/>
                <w:highlight w:val="none"/>
                <w:lang w:eastAsia="zh-CN"/>
              </w:rPr>
              <w:t>手术或技术操作</w:t>
            </w:r>
          </w:p>
        </w:tc>
        <w:tc>
          <w:tcPr>
            <w:tcW w:w="1428" w:type="dxa"/>
            <w:tcBorders>
              <w:top w:val="single" w:color="auto" w:sz="8" w:space="0"/>
              <w:left w:val="nil"/>
              <w:bottom w:val="single" w:color="auto" w:sz="4" w:space="0"/>
            </w:tcBorders>
            <w:vAlign w:val="top"/>
          </w:tcPr>
          <w:p>
            <w:pPr>
              <w:widowControl/>
              <w:spacing w:line="240" w:lineRule="auto"/>
              <w:ind w:right="233" w:rightChars="111"/>
              <w:jc w:val="center"/>
              <w:rPr>
                <w:rFonts w:hint="eastAsia" w:ascii="仿宋_GB2312" w:hAnsi="宋体" w:eastAsia="仿宋_GB2312" w:cs="宋体"/>
                <w:b w:val="0"/>
                <w:bCs w:val="0"/>
                <w:color w:val="auto"/>
                <w:kern w:val="0"/>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67" w:type="dxa"/>
            <w:tcBorders>
              <w:top w:val="sing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幽门环肌切开术</w:t>
            </w:r>
          </w:p>
        </w:tc>
        <w:tc>
          <w:tcPr>
            <w:tcW w:w="1343" w:type="dxa"/>
            <w:tcBorders>
              <w:top w:val="single" w:color="auto" w:sz="4" w:space="0"/>
              <w:left w:val="nil"/>
              <w:bottom w:val="nil"/>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766" w:type="dxa"/>
            <w:tcBorders>
              <w:top w:val="single" w:color="auto" w:sz="4" w:space="0"/>
              <w:left w:val="double" w:color="auto" w:sz="4" w:space="0"/>
              <w:bottom w:val="nil"/>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eastAsia="zh-CN"/>
              </w:rPr>
              <w:t>低位无肛肛门后切术</w:t>
            </w:r>
          </w:p>
        </w:tc>
        <w:tc>
          <w:tcPr>
            <w:tcW w:w="1428" w:type="dxa"/>
            <w:tcBorders>
              <w:top w:val="single" w:color="auto" w:sz="4" w:space="0"/>
              <w:left w:val="nil"/>
              <w:bottom w:val="nil"/>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67" w:type="dxa"/>
            <w:tcBorders>
              <w:top w:val="nil"/>
              <w:bottom w:val="single" w:color="auto" w:sz="8" w:space="0"/>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肛旁脓肿切开引流术</w:t>
            </w:r>
          </w:p>
        </w:tc>
        <w:tc>
          <w:tcPr>
            <w:tcW w:w="1343" w:type="dxa"/>
            <w:tcBorders>
              <w:top w:val="nil"/>
              <w:left w:val="nil"/>
              <w:bottom w:val="single" w:color="auto" w:sz="8" w:space="0"/>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766" w:type="dxa"/>
            <w:tcBorders>
              <w:top w:val="nil"/>
              <w:left w:val="double" w:color="auto" w:sz="4" w:space="0"/>
              <w:bottom w:val="single" w:color="auto" w:sz="8" w:space="0"/>
              <w:right w:val="nil"/>
            </w:tcBorders>
            <w:vAlign w:val="top"/>
          </w:tcPr>
          <w:p>
            <w:pPr>
              <w:widowControl/>
              <w:spacing w:line="240" w:lineRule="auto"/>
              <w:ind w:left="0" w:right="233" w:rightChars="111"/>
              <w:jc w:val="left"/>
              <w:rPr>
                <w:rFonts w:hint="eastAsia" w:ascii="仿宋_GB2312" w:hAnsi="宋体" w:eastAsia="仿宋_GB2312" w:cs="宋体"/>
                <w:color w:val="auto"/>
                <w:kern w:val="0"/>
                <w:sz w:val="21"/>
                <w:szCs w:val="21"/>
                <w:highlight w:val="none"/>
              </w:rPr>
            </w:pPr>
          </w:p>
        </w:tc>
        <w:tc>
          <w:tcPr>
            <w:tcW w:w="1428" w:type="dxa"/>
            <w:tcBorders>
              <w:top w:val="nil"/>
              <w:left w:val="nil"/>
              <w:bottom w:val="single" w:color="auto" w:sz="8"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rPr>
            </w:pP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c.</w:t>
      </w:r>
      <w:r>
        <w:rPr>
          <w:rFonts w:hint="eastAsia" w:ascii="仿宋_GB2312" w:hAnsi="Helvetica" w:eastAsia="仿宋_GB2312" w:cs="Helvetica"/>
          <w:color w:val="auto"/>
          <w:kern w:val="0"/>
          <w:sz w:val="32"/>
          <w:szCs w:val="32"/>
          <w:highlight w:val="none"/>
        </w:rPr>
        <w:t>参加所管床位新生儿外科手术。</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eastAsia="zh-CN"/>
        </w:rPr>
        <w:t>（</w:t>
      </w:r>
      <w:r>
        <w:rPr>
          <w:rFonts w:hint="eastAsia" w:ascii="仿宋_GB2312" w:hAnsi="Helvetica" w:eastAsia="仿宋_GB2312" w:cs="Helvetica"/>
          <w:b w:val="0"/>
          <w:bCs w:val="0"/>
          <w:color w:val="auto"/>
          <w:kern w:val="0"/>
          <w:sz w:val="32"/>
          <w:szCs w:val="32"/>
          <w:highlight w:val="none"/>
          <w:lang w:val="en-US" w:eastAsia="zh-CN"/>
        </w:rPr>
        <w:t>6）胸心外科</w:t>
      </w:r>
      <w:r>
        <w:rPr>
          <w:rFonts w:hint="eastAsia" w:ascii="仿宋_GB2312" w:hAnsi="Helvetica" w:eastAsia="仿宋_GB2312" w:cs="Helvetica"/>
          <w:b w:val="0"/>
          <w:bCs w:val="0"/>
          <w:color w:val="auto"/>
          <w:kern w:val="0"/>
          <w:sz w:val="32"/>
          <w:szCs w:val="32"/>
          <w:highlight w:val="none"/>
        </w:rPr>
        <w:t>(</w:t>
      </w:r>
      <w:r>
        <w:rPr>
          <w:rFonts w:hint="eastAsia" w:ascii="仿宋_GB2312" w:hAnsi="Helvetica" w:eastAsia="仿宋_GB2312" w:cs="Helvetica"/>
          <w:b w:val="0"/>
          <w:bCs w:val="0"/>
          <w:color w:val="auto"/>
          <w:kern w:val="0"/>
          <w:sz w:val="32"/>
          <w:szCs w:val="32"/>
          <w:highlight w:val="none"/>
          <w:lang w:val="en-US" w:eastAsia="zh-CN"/>
        </w:rPr>
        <w:t>4</w:t>
      </w:r>
      <w:r>
        <w:rPr>
          <w:rFonts w:hint="eastAsia" w:ascii="仿宋_GB2312" w:hAnsi="Helvetica" w:eastAsia="仿宋_GB2312" w:cs="Helvetica"/>
          <w:b w:val="0"/>
          <w:bCs w:val="0"/>
          <w:color w:val="auto"/>
          <w:kern w:val="0"/>
          <w:sz w:val="32"/>
          <w:szCs w:val="32"/>
          <w:highlight w:val="none"/>
        </w:rPr>
        <w:t>个月)</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w:t>
      </w:r>
      <w:r>
        <w:rPr>
          <w:rFonts w:hint="eastAsia" w:ascii="仿宋_GB2312" w:hAnsi="Helvetica" w:eastAsia="仿宋_GB2312" w:cs="Helvetica"/>
          <w:color w:val="auto"/>
          <w:kern w:val="0"/>
          <w:sz w:val="32"/>
          <w:szCs w:val="32"/>
          <w:highlight w:val="none"/>
          <w:lang w:val="en-US" w:eastAsia="zh-CN"/>
        </w:rPr>
        <w:t xml:space="preserve">胸心外科患儿的病史采集及查体;胸心外科患儿手术前后处理(术前医嘱、术前准备、术后医嘱)及术后并发症处理;胸腔穿刺术。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熟悉：</w:t>
      </w:r>
      <w:r>
        <w:rPr>
          <w:rFonts w:hint="eastAsia" w:ascii="仿宋_GB2312" w:hAnsi="Helvetica" w:eastAsia="仿宋_GB2312" w:cs="Helvetica"/>
          <w:color w:val="auto"/>
          <w:kern w:val="0"/>
          <w:sz w:val="32"/>
          <w:szCs w:val="32"/>
          <w:highlight w:val="none"/>
          <w:lang w:val="en-US" w:eastAsia="zh-CN"/>
        </w:rPr>
        <w:t xml:space="preserve">胸心外科各种常见病、多发病的发病机制、临床特点、诊断与鉴别诊断要点、治疗原则及随访规范;先天性心脏病的病理生理;常用的诊疗操作技术,如胸腔闭式引流、心包纵隔引流等。 </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了解：</w:t>
      </w:r>
      <w:r>
        <w:rPr>
          <w:rFonts w:hint="eastAsia" w:ascii="仿宋_GB2312" w:hAnsi="Helvetica" w:eastAsia="仿宋_GB2312" w:cs="Helvetica"/>
          <w:color w:val="auto"/>
          <w:kern w:val="0"/>
          <w:sz w:val="32"/>
          <w:szCs w:val="32"/>
          <w:highlight w:val="none"/>
          <w:lang w:val="en-US" w:eastAsia="zh-CN"/>
        </w:rPr>
        <w:t>胸心外科少见病和罕见病的临床特点、诊断与鉴别诊断及治疗原则;气胸、血胸、心源性休克、心脏压塞的早期发现与初步处理;急、慢性心力衰竭,快速心律失常转复,心肺复苏处理;特殊诊疗方法和技术,如临时起博器的安放、心包穿刺引流等。</w:t>
      </w:r>
    </w:p>
    <w:p>
      <w:pPr>
        <w:widowControl/>
        <w:numPr>
          <w:ilvl w:val="0"/>
          <w:numId w:val="0"/>
        </w:numPr>
        <w:autoSpaceDE w:val="0"/>
        <w:autoSpaceDN w:val="0"/>
        <w:adjustRightInd w:val="0"/>
        <w:snapToGrid w:val="0"/>
        <w:spacing w:line="560" w:lineRule="exact"/>
        <w:ind w:left="0" w:leftChars="0"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numPr>
          <w:ilvl w:val="0"/>
          <w:numId w:val="0"/>
        </w:numPr>
        <w:autoSpaceDE w:val="0"/>
        <w:autoSpaceDN w:val="0"/>
        <w:adjustRightInd w:val="0"/>
        <w:snapToGrid w:val="0"/>
        <w:spacing w:line="560" w:lineRule="exact"/>
        <w:ind w:left="0" w:leftChars="0" w:firstLine="640" w:firstLineChars="200"/>
        <w:jc w:val="both"/>
        <w:rPr>
          <w:rFonts w:hint="default"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①病种及例数要求</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见表12。</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 xml:space="preserve">表12  病种及例数要求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3136"/>
        <w:gridCol w:w="1318"/>
        <w:gridCol w:w="2957"/>
        <w:gridCol w:w="137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136" w:type="dxa"/>
            <w:tcBorders>
              <w:top w:val="single" w:color="auto" w:sz="8" w:space="0"/>
              <w:bottom w:val="single" w:color="auto" w:sz="4" w:space="0"/>
              <w:right w:val="nil"/>
            </w:tcBorders>
            <w:vAlign w:val="top"/>
          </w:tcPr>
          <w:p>
            <w:pPr>
              <w:widowControl/>
              <w:ind w:firstLine="422" w:firstLineChars="200"/>
              <w:jc w:val="left"/>
              <w:rPr>
                <w:rFonts w:hint="eastAsia" w:ascii="黑体" w:hAnsi="黑体" w:eastAsia="黑体" w:cs="黑体"/>
                <w:b/>
                <w:bCs/>
                <w:color w:val="auto"/>
                <w:kern w:val="2"/>
                <w:sz w:val="21"/>
                <w:szCs w:val="21"/>
                <w:highlight w:val="none"/>
                <w:lang w:eastAsia="zh-CN"/>
              </w:rPr>
            </w:pPr>
            <w:r>
              <w:rPr>
                <w:rFonts w:hint="eastAsia" w:ascii="黑体" w:hAnsi="黑体" w:eastAsia="黑体" w:cs="黑体"/>
                <w:b/>
                <w:bCs/>
                <w:color w:val="auto"/>
                <w:kern w:val="2"/>
                <w:sz w:val="21"/>
                <w:szCs w:val="21"/>
                <w:highlight w:val="none"/>
                <w:lang w:eastAsia="zh-CN"/>
              </w:rPr>
              <w:t>病种</w:t>
            </w:r>
          </w:p>
        </w:tc>
        <w:tc>
          <w:tcPr>
            <w:tcW w:w="1318" w:type="dxa"/>
            <w:tcBorders>
              <w:top w:val="single" w:color="auto" w:sz="8" w:space="0"/>
              <w:left w:val="nil"/>
              <w:bottom w:val="single" w:color="auto" w:sz="4" w:space="0"/>
              <w:right w:val="double" w:color="auto" w:sz="4" w:space="0"/>
            </w:tcBorders>
            <w:vAlign w:val="top"/>
          </w:tcPr>
          <w:p>
            <w:pPr>
              <w:widowControl/>
              <w:ind w:right="233" w:rightChars="111" w:firstLine="0" w:firstLineChars="0"/>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2957" w:type="dxa"/>
            <w:tcBorders>
              <w:top w:val="single" w:color="auto" w:sz="8" w:space="0"/>
              <w:left w:val="double" w:color="auto" w:sz="4" w:space="0"/>
              <w:bottom w:val="single" w:color="auto" w:sz="4" w:space="0"/>
              <w:right w:val="nil"/>
            </w:tcBorders>
            <w:vAlign w:val="top"/>
          </w:tcPr>
          <w:p>
            <w:pPr>
              <w:widowControl/>
              <w:ind w:right="233" w:rightChars="111"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病种</w:t>
            </w:r>
          </w:p>
        </w:tc>
        <w:tc>
          <w:tcPr>
            <w:tcW w:w="1376" w:type="dxa"/>
            <w:tcBorders>
              <w:top w:val="single" w:color="auto" w:sz="8" w:space="0"/>
              <w:left w:val="nil"/>
              <w:bottom w:val="single" w:color="auto" w:sz="4" w:space="0"/>
            </w:tcBorders>
            <w:vAlign w:val="top"/>
          </w:tcPr>
          <w:p>
            <w:pPr>
              <w:widowControl/>
              <w:ind w:right="233" w:rightChars="111" w:firstLine="0" w:firstLineChars="0"/>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60" w:hRule="atLeast"/>
          <w:jc w:val="center"/>
        </w:trPr>
        <w:tc>
          <w:tcPr>
            <w:tcW w:w="3136" w:type="dxa"/>
            <w:tcBorders>
              <w:top w:val="sing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漏斗胸</w:t>
            </w:r>
          </w:p>
        </w:tc>
        <w:tc>
          <w:tcPr>
            <w:tcW w:w="1318" w:type="dxa"/>
            <w:tcBorders>
              <w:top w:val="single" w:color="auto" w:sz="4" w:space="0"/>
              <w:left w:val="nil"/>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2</w:t>
            </w:r>
          </w:p>
        </w:tc>
        <w:tc>
          <w:tcPr>
            <w:tcW w:w="2957" w:type="dxa"/>
            <w:tcBorders>
              <w:top w:val="single" w:color="auto" w:sz="4" w:space="0"/>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先天性肺囊性变</w:t>
            </w:r>
          </w:p>
        </w:tc>
        <w:tc>
          <w:tcPr>
            <w:tcW w:w="1376" w:type="dxa"/>
            <w:tcBorders>
              <w:top w:val="single" w:color="auto" w:sz="4" w:space="0"/>
              <w:left w:val="nil"/>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136" w:type="dxa"/>
            <w:tcBorders>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val="en-US" w:eastAsia="zh-CN" w:bidi="ar-SA"/>
              </w:rPr>
            </w:pPr>
            <w:r>
              <w:rPr>
                <w:rFonts w:hint="eastAsia" w:ascii="仿宋_GB2312" w:hAnsi="宋体" w:eastAsia="仿宋_GB2312" w:cs="宋体"/>
                <w:color w:val="auto"/>
                <w:kern w:val="0"/>
                <w:sz w:val="21"/>
                <w:szCs w:val="21"/>
                <w:highlight w:val="none"/>
                <w:lang w:val="en-US" w:eastAsia="zh-CN" w:bidi="ar-SA"/>
              </w:rPr>
              <w:t>鸡胸</w:t>
            </w:r>
          </w:p>
        </w:tc>
        <w:tc>
          <w:tcPr>
            <w:tcW w:w="1318" w:type="dxa"/>
            <w:tcBorders>
              <w:left w:val="nil"/>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c>
          <w:tcPr>
            <w:tcW w:w="2957" w:type="dxa"/>
            <w:tcBorders>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隔离肺</w:t>
            </w:r>
          </w:p>
        </w:tc>
        <w:tc>
          <w:tcPr>
            <w:tcW w:w="1376" w:type="dxa"/>
            <w:tcBorders>
              <w:left w:val="nil"/>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136" w:type="dxa"/>
            <w:tcBorders>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val="en-US" w:eastAsia="zh-CN" w:bidi="ar-SA"/>
              </w:rPr>
            </w:pPr>
            <w:r>
              <w:rPr>
                <w:rFonts w:hint="eastAsia" w:ascii="仿宋_GB2312" w:hAnsi="宋体" w:eastAsia="仿宋_GB2312" w:cs="宋体"/>
                <w:color w:val="auto"/>
                <w:kern w:val="0"/>
                <w:sz w:val="21"/>
                <w:szCs w:val="21"/>
                <w:highlight w:val="none"/>
                <w:lang w:val="en-US" w:eastAsia="zh-CN" w:bidi="ar-SA"/>
              </w:rPr>
              <w:t>先天性膈疝:胸腹裂孔疝、胸骨后疝、食管裂孔疝</w:t>
            </w:r>
          </w:p>
        </w:tc>
        <w:tc>
          <w:tcPr>
            <w:tcW w:w="1318" w:type="dxa"/>
            <w:tcBorders>
              <w:left w:val="nil"/>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c>
          <w:tcPr>
            <w:tcW w:w="2957" w:type="dxa"/>
            <w:tcBorders>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纵隔肿物:肿瘤与囊肿</w:t>
            </w:r>
          </w:p>
        </w:tc>
        <w:tc>
          <w:tcPr>
            <w:tcW w:w="1376" w:type="dxa"/>
            <w:tcBorders>
              <w:left w:val="nil"/>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0" w:hRule="atLeast"/>
          <w:jc w:val="center"/>
        </w:trPr>
        <w:tc>
          <w:tcPr>
            <w:tcW w:w="3136" w:type="dxa"/>
            <w:tcBorders>
              <w:right w:val="nil"/>
            </w:tcBorders>
            <w:vAlign w:val="top"/>
          </w:tcPr>
          <w:p>
            <w:pPr>
              <w:widowControl/>
              <w:spacing w:before="0" w:line="240" w:lineRule="auto"/>
              <w:ind w:right="233" w:rightChars="111"/>
              <w:jc w:val="both"/>
              <w:rPr>
                <w:rFonts w:hint="eastAsia" w:ascii="仿宋_GB2312" w:hAnsi="宋体" w:eastAsia="仿宋_GB2312" w:cs="宋体"/>
                <w:color w:val="auto"/>
                <w:kern w:val="0"/>
                <w:sz w:val="21"/>
                <w:szCs w:val="21"/>
                <w:highlight w:val="none"/>
                <w:lang w:val="en-US" w:eastAsia="zh-CN" w:bidi="ar-SA"/>
              </w:rPr>
            </w:pPr>
            <w:r>
              <w:rPr>
                <w:rFonts w:hint="eastAsia" w:ascii="仿宋_GB2312" w:hAnsi="宋体" w:eastAsia="仿宋_GB2312" w:cs="宋体"/>
                <w:color w:val="auto"/>
                <w:kern w:val="0"/>
                <w:sz w:val="21"/>
                <w:szCs w:val="21"/>
                <w:highlight w:val="none"/>
                <w:lang w:val="en-US" w:eastAsia="zh-CN" w:bidi="ar-SA"/>
              </w:rPr>
              <w:t>先天性膈膨升</w:t>
            </w:r>
          </w:p>
        </w:tc>
        <w:tc>
          <w:tcPr>
            <w:tcW w:w="1318" w:type="dxa"/>
            <w:tcBorders>
              <w:left w:val="nil"/>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c>
          <w:tcPr>
            <w:tcW w:w="2957" w:type="dxa"/>
            <w:tcBorders>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脓胸</w:t>
            </w:r>
          </w:p>
        </w:tc>
        <w:tc>
          <w:tcPr>
            <w:tcW w:w="1376" w:type="dxa"/>
            <w:tcBorders>
              <w:left w:val="nil"/>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136" w:type="dxa"/>
            <w:tcBorders>
              <w:bottom w:val="single" w:color="auto" w:sz="8"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val="en-US" w:eastAsia="zh-CN" w:bidi="ar-SA"/>
              </w:rPr>
            </w:pPr>
            <w:r>
              <w:rPr>
                <w:rFonts w:hint="eastAsia" w:ascii="仿宋_GB2312" w:hAnsi="宋体" w:eastAsia="仿宋_GB2312" w:cs="宋体"/>
                <w:color w:val="auto"/>
                <w:kern w:val="0"/>
                <w:sz w:val="21"/>
                <w:szCs w:val="21"/>
                <w:highlight w:val="none"/>
                <w:lang w:val="en-US" w:eastAsia="zh-CN" w:bidi="ar-SA"/>
              </w:rPr>
              <w:t>先天性膈膨升</w:t>
            </w:r>
          </w:p>
        </w:tc>
        <w:tc>
          <w:tcPr>
            <w:tcW w:w="1318" w:type="dxa"/>
            <w:tcBorders>
              <w:left w:val="nil"/>
              <w:bottom w:val="single" w:color="auto" w:sz="8" w:space="0"/>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5</w:t>
            </w:r>
          </w:p>
        </w:tc>
        <w:tc>
          <w:tcPr>
            <w:tcW w:w="2957" w:type="dxa"/>
            <w:tcBorders>
              <w:left w:val="double" w:color="auto" w:sz="4" w:space="0"/>
              <w:bottom w:val="single" w:color="auto" w:sz="8"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化脓性心包炎</w:t>
            </w:r>
          </w:p>
        </w:tc>
        <w:tc>
          <w:tcPr>
            <w:tcW w:w="1376" w:type="dxa"/>
            <w:tcBorders>
              <w:left w:val="nil"/>
              <w:bottom w:val="single" w:color="auto" w:sz="8" w:space="0"/>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bl>
    <w:p>
      <w:pPr>
        <w:widowControl/>
        <w:numPr>
          <w:ilvl w:val="-1"/>
          <w:numId w:val="0"/>
        </w:numPr>
        <w:autoSpaceDE w:val="0"/>
        <w:autoSpaceDN w:val="0"/>
        <w:adjustRightInd w:val="0"/>
        <w:snapToGrid w:val="0"/>
        <w:spacing w:line="560" w:lineRule="exact"/>
        <w:ind w:left="0" w:leftChars="0"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val="en-US" w:eastAsia="zh-CN"/>
        </w:rPr>
        <w:t>②基本技能要求</w:t>
      </w:r>
    </w:p>
    <w:p>
      <w:pPr>
        <w:widowControl/>
        <w:numPr>
          <w:ilvl w:val="-1"/>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a.</w:t>
      </w:r>
      <w:r>
        <w:rPr>
          <w:rFonts w:hint="eastAsia" w:ascii="仿宋_GB2312" w:hAnsi="Helvetica" w:eastAsia="仿宋_GB2312" w:cs="Helvetica"/>
          <w:color w:val="auto"/>
          <w:kern w:val="0"/>
          <w:sz w:val="32"/>
          <w:szCs w:val="32"/>
          <w:highlight w:val="none"/>
        </w:rPr>
        <w:t>书写住院病历不少于</w:t>
      </w: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0份,书写</w:t>
      </w:r>
      <w:r>
        <w:rPr>
          <w:rFonts w:hint="eastAsia" w:ascii="仿宋_GB2312" w:hAnsi="Helvetica" w:eastAsia="仿宋_GB2312" w:cs="Helvetica"/>
          <w:color w:val="auto"/>
          <w:kern w:val="0"/>
          <w:sz w:val="32"/>
          <w:szCs w:val="32"/>
          <w:highlight w:val="none"/>
          <w:lang w:val="en-US" w:eastAsia="zh-CN"/>
        </w:rPr>
        <w:t>入院记录</w:t>
      </w:r>
      <w:r>
        <w:rPr>
          <w:rFonts w:hint="eastAsia" w:ascii="仿宋_GB2312" w:hAnsi="Helvetica" w:eastAsia="仿宋_GB2312" w:cs="Helvetica"/>
          <w:color w:val="auto"/>
          <w:kern w:val="0"/>
          <w:sz w:val="32"/>
          <w:szCs w:val="32"/>
          <w:highlight w:val="none"/>
        </w:rPr>
        <w:t>不少于5份。</w:t>
      </w:r>
    </w:p>
    <w:p>
      <w:pPr>
        <w:widowControl/>
        <w:autoSpaceDE/>
        <w:autoSpaceDN/>
        <w:adjustRightInd/>
        <w:snapToGrid/>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w:t>
      </w:r>
      <w:r>
        <w:rPr>
          <w:rFonts w:hint="eastAsia" w:ascii="仿宋_GB2312" w:hAnsi="Helvetica" w:eastAsia="仿宋_GB2312" w:cs="Helvetica"/>
          <w:color w:val="auto"/>
          <w:kern w:val="0"/>
          <w:sz w:val="32"/>
          <w:szCs w:val="32"/>
          <w:highlight w:val="none"/>
          <w:lang w:val="en-US" w:eastAsia="zh-CN"/>
        </w:rPr>
        <w:t>以下手术或操作，见表13</w:t>
      </w:r>
      <w:r>
        <w:rPr>
          <w:rFonts w:hint="eastAsia" w:ascii="仿宋_GB2312" w:hAnsi="Helvetica" w:eastAsia="仿宋_GB2312" w:cs="Helvetica"/>
          <w:color w:val="auto"/>
          <w:kern w:val="0"/>
          <w:sz w:val="32"/>
          <w:szCs w:val="32"/>
          <w:highlight w:val="none"/>
        </w:rPr>
        <w:t>。</w:t>
      </w:r>
    </w:p>
    <w:p>
      <w:pPr>
        <w:widowControl/>
        <w:numPr>
          <w:ilvl w:val="0"/>
          <w:numId w:val="0"/>
        </w:numPr>
        <w:autoSpaceDE/>
        <w:autoSpaceDN/>
        <w:adjustRightInd/>
        <w:snapToGrid/>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adjustRightInd/>
        <w:snapToGrid/>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 xml:space="preserve">表13  手术或操作技术种类及例数要求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06"/>
        <w:gridCol w:w="1382"/>
        <w:gridCol w:w="2893"/>
        <w:gridCol w:w="140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06" w:type="dxa"/>
            <w:tcBorders>
              <w:top w:val="single" w:color="auto" w:sz="8" w:space="0"/>
              <w:bottom w:val="single" w:color="auto" w:sz="4" w:space="0"/>
              <w:right w:val="nil"/>
            </w:tcBorders>
            <w:vAlign w:val="top"/>
          </w:tcPr>
          <w:p>
            <w:pPr>
              <w:widowControl/>
              <w:ind w:firstLine="422" w:firstLineChars="200"/>
              <w:jc w:val="both"/>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手术名称</w:t>
            </w:r>
          </w:p>
        </w:tc>
        <w:tc>
          <w:tcPr>
            <w:tcW w:w="1382" w:type="dxa"/>
            <w:tcBorders>
              <w:top w:val="single" w:color="auto" w:sz="8" w:space="0"/>
              <w:left w:val="nil"/>
              <w:bottom w:val="single" w:color="auto" w:sz="4" w:space="0"/>
              <w:right w:val="double" w:color="auto" w:sz="4" w:space="0"/>
            </w:tcBorders>
            <w:vAlign w:val="top"/>
          </w:tcPr>
          <w:p>
            <w:pPr>
              <w:widowControl/>
              <w:ind w:right="233" w:rightChars="111"/>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2893" w:type="dxa"/>
            <w:tcBorders>
              <w:top w:val="single" w:color="auto" w:sz="8" w:space="0"/>
              <w:left w:val="double" w:color="auto" w:sz="4" w:space="0"/>
              <w:bottom w:val="single" w:color="auto" w:sz="4" w:space="0"/>
              <w:right w:val="nil"/>
            </w:tcBorders>
            <w:vAlign w:val="top"/>
          </w:tcPr>
          <w:p>
            <w:pPr>
              <w:widowControl/>
              <w:ind w:right="233" w:rightChars="111" w:firstLine="422" w:firstLineChars="200"/>
              <w:jc w:val="both"/>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手术名称</w:t>
            </w:r>
          </w:p>
        </w:tc>
        <w:tc>
          <w:tcPr>
            <w:tcW w:w="1406" w:type="dxa"/>
            <w:tcBorders>
              <w:top w:val="single" w:color="auto" w:sz="8" w:space="0"/>
              <w:left w:val="nil"/>
              <w:bottom w:val="single" w:color="auto" w:sz="4" w:space="0"/>
            </w:tcBorders>
            <w:vAlign w:val="top"/>
          </w:tcPr>
          <w:p>
            <w:pPr>
              <w:widowControl/>
              <w:ind w:right="233" w:rightChars="111"/>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06" w:type="dxa"/>
            <w:tcBorders>
              <w:top w:val="single" w:color="auto" w:sz="4" w:space="0"/>
            </w:tcBorders>
            <w:vAlign w:val="top"/>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胸腔闭式引流术</w:t>
            </w:r>
          </w:p>
        </w:tc>
        <w:tc>
          <w:tcPr>
            <w:tcW w:w="1382" w:type="dxa"/>
            <w:tcBorders>
              <w:top w:val="single" w:color="auto" w:sz="4" w:space="0"/>
              <w:right w:val="double" w:color="auto" w:sz="4" w:space="0"/>
            </w:tcBorders>
            <w:vAlign w:val="top"/>
          </w:tcPr>
          <w:p>
            <w:pPr>
              <w:widowControl/>
              <w:spacing w:line="240" w:lineRule="auto"/>
              <w:ind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c>
          <w:tcPr>
            <w:tcW w:w="2893" w:type="dxa"/>
            <w:tcBorders>
              <w:top w:val="single" w:color="auto" w:sz="4" w:space="0"/>
              <w:left w:val="double" w:color="auto" w:sz="4" w:space="0"/>
            </w:tcBorders>
            <w:vAlign w:val="top"/>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心包纵隔引流</w:t>
            </w:r>
          </w:p>
        </w:tc>
        <w:tc>
          <w:tcPr>
            <w:tcW w:w="1406" w:type="dxa"/>
            <w:tcBorders>
              <w:top w:val="single" w:color="auto" w:sz="4" w:space="0"/>
            </w:tcBorders>
            <w:vAlign w:val="top"/>
          </w:tcPr>
          <w:p>
            <w:pPr>
              <w:widowControl/>
              <w:spacing w:line="240" w:lineRule="auto"/>
              <w:ind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3106" w:type="dxa"/>
            <w:tcBorders>
              <w:bottom w:val="single" w:color="auto" w:sz="8" w:space="0"/>
              <w:right w:val="nil"/>
            </w:tcBorders>
            <w:vAlign w:val="top"/>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漏斗胸内固定物取出术</w:t>
            </w:r>
          </w:p>
        </w:tc>
        <w:tc>
          <w:tcPr>
            <w:tcW w:w="1382" w:type="dxa"/>
            <w:tcBorders>
              <w:left w:val="nil"/>
              <w:bottom w:val="single" w:color="auto" w:sz="8" w:space="0"/>
              <w:right w:val="double" w:color="auto" w:sz="4" w:space="0"/>
            </w:tcBorders>
            <w:vAlign w:val="top"/>
          </w:tcPr>
          <w:p>
            <w:pPr>
              <w:widowControl/>
              <w:spacing w:line="240" w:lineRule="auto"/>
              <w:ind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c>
          <w:tcPr>
            <w:tcW w:w="2893" w:type="dxa"/>
            <w:tcBorders>
              <w:left w:val="double" w:color="auto" w:sz="4" w:space="0"/>
              <w:bottom w:val="single" w:color="auto" w:sz="8" w:space="0"/>
              <w:right w:val="nil"/>
            </w:tcBorders>
            <w:vAlign w:val="top"/>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独立开胸、关胸</w:t>
            </w:r>
          </w:p>
        </w:tc>
        <w:tc>
          <w:tcPr>
            <w:tcW w:w="1406" w:type="dxa"/>
            <w:tcBorders>
              <w:left w:val="nil"/>
              <w:bottom w:val="single" w:color="auto" w:sz="8" w:space="0"/>
            </w:tcBorders>
            <w:vAlign w:val="top"/>
          </w:tcPr>
          <w:p>
            <w:pPr>
              <w:widowControl/>
              <w:spacing w:line="240" w:lineRule="auto"/>
              <w:ind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3</w:t>
            </w:r>
          </w:p>
        </w:tc>
      </w:tr>
    </w:tbl>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i w:val="0"/>
          <w:iCs w:val="0"/>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c.</w:t>
      </w:r>
      <w:r>
        <w:rPr>
          <w:rFonts w:hint="eastAsia" w:ascii="仿宋_GB2312" w:hAnsi="Helvetica" w:eastAsia="仿宋_GB2312" w:cs="Helvetica"/>
          <w:color w:val="auto"/>
          <w:kern w:val="0"/>
          <w:sz w:val="32"/>
          <w:szCs w:val="32"/>
          <w:highlight w:val="none"/>
        </w:rPr>
        <w:t>参加所管床位患儿胸心外科手术。</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(7)神经</w:t>
      </w:r>
      <w:r>
        <w:rPr>
          <w:rFonts w:hint="eastAsia" w:ascii="仿宋_GB2312" w:hAnsi="Helvetica" w:eastAsia="仿宋_GB2312" w:cs="Helvetica"/>
          <w:b w:val="0"/>
          <w:bCs w:val="0"/>
          <w:color w:val="auto"/>
          <w:kern w:val="0"/>
          <w:sz w:val="32"/>
          <w:szCs w:val="32"/>
          <w:highlight w:val="none"/>
        </w:rPr>
        <w:t>外科(２个月)</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w:t>
      </w:r>
      <w:r>
        <w:rPr>
          <w:rFonts w:hint="eastAsia" w:ascii="仿宋_GB2312" w:hAnsi="Helvetica" w:eastAsia="仿宋_GB2312" w:cs="Helvetica"/>
          <w:color w:val="auto"/>
          <w:kern w:val="0"/>
          <w:sz w:val="32"/>
          <w:szCs w:val="32"/>
          <w:highlight w:val="none"/>
          <w:lang w:val="en-US" w:eastAsia="zh-CN"/>
        </w:rPr>
        <w:t>神经外科患儿的病史采集及查体;神经外科患儿手术前后处理(术前医嘱、术前准备、术后医嘱)及术后并发症处理;腰椎穿刺、脑室穿刺术</w:t>
      </w:r>
      <w:r>
        <w:rPr>
          <w:rFonts w:hint="eastAsia" w:ascii="仿宋_GB2312" w:hAnsi="Helvetica" w:eastAsia="仿宋_GB2312" w:cs="Helvetica"/>
          <w:color w:val="auto"/>
          <w:kern w:val="0"/>
          <w:sz w:val="32"/>
          <w:szCs w:val="32"/>
          <w:highlight w:val="none"/>
        </w:rPr>
        <w:t>。</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熟悉：</w:t>
      </w:r>
      <w:r>
        <w:rPr>
          <w:rFonts w:hint="eastAsia" w:ascii="仿宋_GB2312" w:hAnsi="Helvetica" w:eastAsia="仿宋_GB2312" w:cs="Helvetica"/>
          <w:color w:val="auto"/>
          <w:kern w:val="0"/>
          <w:sz w:val="32"/>
          <w:szCs w:val="32"/>
          <w:highlight w:val="none"/>
          <w:lang w:val="en-US" w:eastAsia="zh-CN"/>
        </w:rPr>
        <w:t>神经外科各种常见病、多发病的发病机制、临床特点、诊断与鉴别诊断要点、治疗原则及随访规范;常用的诊疗操作技术,如脑室外引流、脑室腹腔引流等。</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了解：</w:t>
      </w:r>
      <w:r>
        <w:rPr>
          <w:rFonts w:hint="eastAsia" w:ascii="仿宋_GB2312" w:hAnsi="Helvetica" w:eastAsia="仿宋_GB2312" w:cs="Helvetica"/>
          <w:color w:val="auto"/>
          <w:kern w:val="0"/>
          <w:sz w:val="32"/>
          <w:szCs w:val="32"/>
          <w:highlight w:val="none"/>
          <w:lang w:val="en-US" w:eastAsia="zh-CN"/>
        </w:rPr>
        <w:t>神经外科少见病和罕见病的临床特点、诊断与鉴别诊断及治疗原则;颅脑、脊髓手术术后监护;癫痫持续发作的治疗原则;颅内高压及脑疝的抢救及监护。</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①病种及例数要求</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见表14。</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default" w:ascii="方正小标宋简体" w:hAnsi="宋体" w:eastAsia="方正小标宋简体" w:cs="宋体"/>
          <w:color w:val="auto"/>
          <w:kern w:val="0"/>
          <w:sz w:val="24"/>
          <w:szCs w:val="24"/>
          <w:highlight w:val="none"/>
          <w:lang w:eastAsia="zh-CN" w:bidi="ar"/>
        </w:rPr>
      </w:pPr>
      <w:r>
        <w:rPr>
          <w:rFonts w:hint="eastAsia" w:ascii="方正小标宋简体" w:hAnsi="宋体" w:eastAsia="方正小标宋简体" w:cs="宋体"/>
          <w:color w:val="auto"/>
          <w:kern w:val="0"/>
          <w:sz w:val="24"/>
          <w:szCs w:val="24"/>
          <w:highlight w:val="none"/>
          <w:lang w:val="en-US" w:eastAsia="zh-CN" w:bidi="ar"/>
        </w:rPr>
        <w:t>表14  病种及例数要求</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3541"/>
        <w:gridCol w:w="1372"/>
        <w:gridCol w:w="2583"/>
        <w:gridCol w:w="1291"/>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25" w:hRule="atLeast"/>
          <w:jc w:val="center"/>
        </w:trPr>
        <w:tc>
          <w:tcPr>
            <w:tcW w:w="3541" w:type="dxa"/>
            <w:tcBorders>
              <w:top w:val="single" w:color="auto" w:sz="8" w:space="0"/>
              <w:bottom w:val="single" w:color="auto" w:sz="4" w:space="0"/>
              <w:right w:val="nil"/>
            </w:tcBorders>
          </w:tcPr>
          <w:p>
            <w:pPr>
              <w:widowControl/>
              <w:ind w:firstLine="422" w:firstLineChars="200"/>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病种</w:t>
            </w:r>
          </w:p>
        </w:tc>
        <w:tc>
          <w:tcPr>
            <w:tcW w:w="1372" w:type="dxa"/>
            <w:tcBorders>
              <w:top w:val="single" w:color="auto" w:sz="8" w:space="0"/>
              <w:left w:val="nil"/>
              <w:bottom w:val="single" w:color="auto" w:sz="4" w:space="0"/>
              <w:right w:val="double" w:color="auto" w:sz="4" w:space="0"/>
            </w:tcBorders>
          </w:tcPr>
          <w:p>
            <w:pPr>
              <w:widowControl/>
              <w:ind w:firstLine="0" w:firstLineChars="0"/>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2583" w:type="dxa"/>
            <w:tcBorders>
              <w:top w:val="single" w:color="auto" w:sz="8" w:space="0"/>
              <w:left w:val="double" w:color="auto" w:sz="4" w:space="0"/>
              <w:bottom w:val="single" w:color="auto" w:sz="4" w:space="0"/>
              <w:right w:val="nil"/>
            </w:tcBorders>
          </w:tcPr>
          <w:p>
            <w:pPr>
              <w:widowControl/>
              <w:ind w:firstLine="422" w:firstLineChars="200"/>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病种</w:t>
            </w:r>
          </w:p>
        </w:tc>
        <w:tc>
          <w:tcPr>
            <w:tcW w:w="1291" w:type="dxa"/>
            <w:tcBorders>
              <w:top w:val="single" w:color="auto" w:sz="8" w:space="0"/>
              <w:left w:val="nil"/>
              <w:bottom w:val="single" w:color="auto" w:sz="4" w:space="0"/>
            </w:tcBorders>
          </w:tcPr>
          <w:p>
            <w:pPr>
              <w:widowControl/>
              <w:ind w:firstLine="0" w:firstLineChars="0"/>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541" w:type="dxa"/>
            <w:tcBorders>
              <w:top w:val="single" w:color="auto" w:sz="4" w:space="0"/>
              <w:bottom w:val="nil"/>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eastAsia="zh-CN"/>
              </w:rPr>
              <w:t>脊膜膨出及脊髓脊膜膨出</w:t>
            </w:r>
          </w:p>
        </w:tc>
        <w:tc>
          <w:tcPr>
            <w:tcW w:w="1372" w:type="dxa"/>
            <w:tcBorders>
              <w:top w:val="single" w:color="auto" w:sz="4" w:space="0"/>
              <w:left w:val="nil"/>
              <w:bottom w:val="nil"/>
              <w:right w:val="double" w:color="auto" w:sz="4" w:space="0"/>
            </w:tcBorders>
            <w:vAlign w:val="center"/>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2</w:t>
            </w:r>
          </w:p>
        </w:tc>
        <w:tc>
          <w:tcPr>
            <w:tcW w:w="2583" w:type="dxa"/>
            <w:tcBorders>
              <w:top w:val="single" w:color="auto" w:sz="4" w:space="0"/>
              <w:left w:val="double" w:color="auto" w:sz="4" w:space="0"/>
              <w:bottom w:val="nil"/>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颅内占位病变</w:t>
            </w:r>
          </w:p>
        </w:tc>
        <w:tc>
          <w:tcPr>
            <w:tcW w:w="1291" w:type="dxa"/>
            <w:tcBorders>
              <w:top w:val="single" w:color="auto" w:sz="4" w:space="0"/>
              <w:left w:val="nil"/>
              <w:bottom w:val="nil"/>
            </w:tcBorders>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541" w:type="dxa"/>
            <w:tcBorders>
              <w:top w:val="nil"/>
              <w:bottom w:val="nil"/>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脑膜膨出及脑膜脑膨出脑积水</w:t>
            </w:r>
          </w:p>
        </w:tc>
        <w:tc>
          <w:tcPr>
            <w:tcW w:w="1372" w:type="dxa"/>
            <w:tcBorders>
              <w:top w:val="nil"/>
              <w:left w:val="nil"/>
              <w:bottom w:val="nil"/>
              <w:right w:val="double" w:color="auto" w:sz="4" w:space="0"/>
            </w:tcBorders>
            <w:vAlign w:val="center"/>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1</w:t>
            </w:r>
          </w:p>
        </w:tc>
        <w:tc>
          <w:tcPr>
            <w:tcW w:w="2583" w:type="dxa"/>
            <w:tcBorders>
              <w:top w:val="nil"/>
              <w:left w:val="double" w:color="auto" w:sz="4" w:space="0"/>
              <w:bottom w:val="nil"/>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脊髓肿瘤</w:t>
            </w:r>
          </w:p>
        </w:tc>
        <w:tc>
          <w:tcPr>
            <w:tcW w:w="1291" w:type="dxa"/>
            <w:tcBorders>
              <w:top w:val="nil"/>
              <w:left w:val="nil"/>
              <w:bottom w:val="nil"/>
            </w:tcBorders>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541" w:type="dxa"/>
            <w:tcBorders>
              <w:top w:val="nil"/>
              <w:bottom w:val="nil"/>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脑积水</w:t>
            </w:r>
          </w:p>
        </w:tc>
        <w:tc>
          <w:tcPr>
            <w:tcW w:w="1372" w:type="dxa"/>
            <w:tcBorders>
              <w:top w:val="nil"/>
              <w:left w:val="nil"/>
              <w:bottom w:val="nil"/>
              <w:right w:val="double" w:color="auto" w:sz="4" w:space="0"/>
            </w:tcBorders>
            <w:vAlign w:val="center"/>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2</w:t>
            </w:r>
          </w:p>
        </w:tc>
        <w:tc>
          <w:tcPr>
            <w:tcW w:w="2583" w:type="dxa"/>
            <w:tcBorders>
              <w:top w:val="nil"/>
              <w:left w:val="double" w:color="auto" w:sz="4" w:space="0"/>
              <w:bottom w:val="nil"/>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颅脑创伤</w:t>
            </w:r>
          </w:p>
        </w:tc>
        <w:tc>
          <w:tcPr>
            <w:tcW w:w="1291" w:type="dxa"/>
            <w:tcBorders>
              <w:top w:val="nil"/>
              <w:left w:val="nil"/>
              <w:bottom w:val="nil"/>
            </w:tcBorders>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541" w:type="dxa"/>
            <w:tcBorders>
              <w:top w:val="nil"/>
              <w:bottom w:val="nil"/>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脊髓栓系综合征</w:t>
            </w:r>
          </w:p>
        </w:tc>
        <w:tc>
          <w:tcPr>
            <w:tcW w:w="1372" w:type="dxa"/>
            <w:tcBorders>
              <w:top w:val="nil"/>
              <w:left w:val="nil"/>
              <w:bottom w:val="nil"/>
              <w:right w:val="double" w:color="auto" w:sz="4" w:space="0"/>
            </w:tcBorders>
            <w:vAlign w:val="center"/>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c>
          <w:tcPr>
            <w:tcW w:w="2583" w:type="dxa"/>
            <w:tcBorders>
              <w:top w:val="nil"/>
              <w:left w:val="double" w:color="auto" w:sz="4" w:space="0"/>
              <w:bottom w:val="nil"/>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脊髓外伤</w:t>
            </w:r>
          </w:p>
        </w:tc>
        <w:tc>
          <w:tcPr>
            <w:tcW w:w="1291" w:type="dxa"/>
            <w:tcBorders>
              <w:top w:val="nil"/>
              <w:left w:val="nil"/>
              <w:bottom w:val="nil"/>
            </w:tcBorders>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9" w:hRule="atLeast"/>
          <w:jc w:val="center"/>
        </w:trPr>
        <w:tc>
          <w:tcPr>
            <w:tcW w:w="3541" w:type="dxa"/>
            <w:tcBorders>
              <w:top w:val="nil"/>
              <w:bottom w:val="single" w:color="auto" w:sz="8" w:space="0"/>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颅内出血</w:t>
            </w:r>
          </w:p>
        </w:tc>
        <w:tc>
          <w:tcPr>
            <w:tcW w:w="1372" w:type="dxa"/>
            <w:tcBorders>
              <w:top w:val="nil"/>
              <w:left w:val="nil"/>
              <w:bottom w:val="single" w:color="auto" w:sz="8" w:space="0"/>
              <w:right w:val="double" w:color="auto" w:sz="4" w:space="0"/>
            </w:tcBorders>
            <w:vAlign w:val="center"/>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2</w:t>
            </w:r>
          </w:p>
        </w:tc>
        <w:tc>
          <w:tcPr>
            <w:tcW w:w="2583" w:type="dxa"/>
            <w:tcBorders>
              <w:top w:val="nil"/>
              <w:left w:val="double" w:color="auto" w:sz="4" w:space="0"/>
              <w:bottom w:val="single" w:color="auto" w:sz="8" w:space="0"/>
              <w:right w:val="nil"/>
            </w:tcBorders>
          </w:tcPr>
          <w:p>
            <w:pPr>
              <w:widowControl/>
              <w:adjustRightInd/>
              <w:snapToGrid/>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脊髓纵裂</w:t>
            </w:r>
          </w:p>
        </w:tc>
        <w:tc>
          <w:tcPr>
            <w:tcW w:w="1291" w:type="dxa"/>
            <w:tcBorders>
              <w:top w:val="nil"/>
              <w:left w:val="nil"/>
              <w:bottom w:val="single" w:color="auto" w:sz="8" w:space="0"/>
            </w:tcBorders>
          </w:tcPr>
          <w:p>
            <w:pPr>
              <w:widowControl/>
              <w:adjustRightInd/>
              <w:snapToGrid/>
              <w:spacing w:line="240" w:lineRule="auto"/>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w:t>
            </w:r>
          </w:p>
        </w:tc>
      </w:tr>
    </w:tbl>
    <w:p>
      <w:pPr>
        <w:widowControl/>
        <w:numPr>
          <w:ilvl w:val="0"/>
          <w:numId w:val="0"/>
        </w:numPr>
        <w:autoSpaceDE w:val="0"/>
        <w:autoSpaceDN w:val="0"/>
        <w:adjustRightInd w:val="0"/>
        <w:snapToGrid w:val="0"/>
        <w:spacing w:line="560" w:lineRule="exact"/>
        <w:ind w:left="0" w:leftChars="0"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②基本技能要求</w:t>
      </w:r>
      <w:r>
        <w:rPr>
          <w:rFonts w:hint="eastAsia" w:ascii="仿宋_GB2312" w:hAnsi="Helvetica" w:eastAsia="仿宋_GB2312" w:cs="Helvetica"/>
          <w:color w:val="auto"/>
          <w:kern w:val="0"/>
          <w:sz w:val="32"/>
          <w:szCs w:val="32"/>
          <w:highlight w:val="none"/>
        </w:rPr>
        <w:t xml:space="preserve"> </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eastAsia="zh-CN"/>
        </w:rPr>
      </w:pPr>
      <w:r>
        <w:rPr>
          <w:rFonts w:hint="eastAsia" w:ascii="仿宋_GB2312" w:hAnsi="Helvetica" w:eastAsia="仿宋_GB2312" w:cs="Helvetica"/>
          <w:color w:val="auto"/>
          <w:kern w:val="0"/>
          <w:sz w:val="32"/>
          <w:szCs w:val="32"/>
          <w:highlight w:val="none"/>
          <w:lang w:val="en-US" w:eastAsia="zh-CN"/>
        </w:rPr>
        <w:t>a.</w:t>
      </w:r>
      <w:r>
        <w:rPr>
          <w:rFonts w:hint="eastAsia" w:ascii="仿宋_GB2312" w:hAnsi="Helvetica" w:eastAsia="仿宋_GB2312" w:cs="Helvetica"/>
          <w:color w:val="auto"/>
          <w:kern w:val="0"/>
          <w:sz w:val="32"/>
          <w:szCs w:val="32"/>
          <w:highlight w:val="none"/>
        </w:rPr>
        <w:t>书写住院病历不少于</w:t>
      </w: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0份,书写</w:t>
      </w:r>
      <w:r>
        <w:rPr>
          <w:rFonts w:hint="eastAsia" w:ascii="仿宋_GB2312" w:hAnsi="Helvetica" w:eastAsia="仿宋_GB2312" w:cs="Helvetica"/>
          <w:color w:val="auto"/>
          <w:kern w:val="0"/>
          <w:sz w:val="32"/>
          <w:szCs w:val="32"/>
          <w:highlight w:val="none"/>
          <w:lang w:val="en-US" w:eastAsia="zh-CN"/>
        </w:rPr>
        <w:t>入院记录</w:t>
      </w:r>
      <w:r>
        <w:rPr>
          <w:rFonts w:hint="eastAsia" w:ascii="仿宋_GB2312" w:hAnsi="Helvetica" w:eastAsia="仿宋_GB2312" w:cs="Helvetica"/>
          <w:color w:val="auto"/>
          <w:kern w:val="0"/>
          <w:sz w:val="32"/>
          <w:szCs w:val="32"/>
          <w:highlight w:val="none"/>
        </w:rPr>
        <w:t>不少于</w:t>
      </w:r>
      <w:r>
        <w:rPr>
          <w:rFonts w:hint="eastAsia" w:ascii="仿宋_GB2312" w:hAnsi="Helvetica" w:eastAsia="仿宋_GB2312" w:cs="Helvetica"/>
          <w:color w:val="auto"/>
          <w:kern w:val="0"/>
          <w:sz w:val="32"/>
          <w:szCs w:val="32"/>
          <w:highlight w:val="none"/>
          <w:lang w:val="en-US" w:eastAsia="zh-CN"/>
        </w:rPr>
        <w:t>5</w:t>
      </w:r>
      <w:r>
        <w:rPr>
          <w:rFonts w:hint="eastAsia" w:ascii="仿宋_GB2312" w:hAnsi="Helvetica" w:eastAsia="仿宋_GB2312" w:cs="Helvetica"/>
          <w:color w:val="auto"/>
          <w:kern w:val="0"/>
          <w:sz w:val="32"/>
          <w:szCs w:val="32"/>
          <w:highlight w:val="none"/>
        </w:rPr>
        <w:t>份</w:t>
      </w:r>
      <w:r>
        <w:rPr>
          <w:rFonts w:hint="eastAsia" w:ascii="仿宋_GB2312" w:hAnsi="Helvetica" w:eastAsia="仿宋_GB2312" w:cs="Helvetica"/>
          <w:color w:val="auto"/>
          <w:kern w:val="0"/>
          <w:sz w:val="32"/>
          <w:szCs w:val="32"/>
          <w:highlight w:val="none"/>
          <w:lang w:eastAsia="zh-CN"/>
        </w:rPr>
        <w:t>。</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w:t>
      </w:r>
      <w:r>
        <w:rPr>
          <w:rFonts w:hint="eastAsia" w:ascii="仿宋_GB2312" w:hAnsi="Helvetica" w:eastAsia="仿宋_GB2312" w:cs="Helvetica"/>
          <w:color w:val="auto"/>
          <w:kern w:val="0"/>
          <w:sz w:val="32"/>
          <w:szCs w:val="32"/>
          <w:highlight w:val="none"/>
          <w:lang w:val="en-US" w:eastAsia="zh-CN"/>
        </w:rPr>
        <w:t>以下</w:t>
      </w:r>
      <w:r>
        <w:rPr>
          <w:rFonts w:hint="eastAsia" w:ascii="仿宋_GB2312" w:hAnsi="Helvetica" w:eastAsia="仿宋_GB2312" w:cs="Helvetica"/>
          <w:color w:val="auto"/>
          <w:kern w:val="0"/>
          <w:sz w:val="32"/>
          <w:szCs w:val="32"/>
          <w:highlight w:val="none"/>
        </w:rPr>
        <w:t>手术</w:t>
      </w:r>
      <w:r>
        <w:rPr>
          <w:rFonts w:hint="eastAsia" w:ascii="仿宋_GB2312" w:hAnsi="Helvetica" w:eastAsia="仿宋_GB2312" w:cs="Helvetica"/>
          <w:color w:val="auto"/>
          <w:kern w:val="0"/>
          <w:sz w:val="32"/>
          <w:szCs w:val="32"/>
          <w:highlight w:val="none"/>
          <w:lang w:val="en-US" w:eastAsia="zh-CN"/>
        </w:rPr>
        <w:t>或操作，见表15</w:t>
      </w:r>
      <w:r>
        <w:rPr>
          <w:rFonts w:hint="eastAsia" w:ascii="仿宋_GB2312" w:hAnsi="Helvetica" w:eastAsia="仿宋_GB2312" w:cs="Helvetica"/>
          <w:color w:val="auto"/>
          <w:kern w:val="0"/>
          <w:sz w:val="32"/>
          <w:szCs w:val="32"/>
          <w:highlight w:val="none"/>
        </w:rPr>
        <w:t>。</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r>
        <w:rPr>
          <w:rFonts w:hint="eastAsia" w:ascii="方正小标宋简体" w:hAnsi="宋体" w:eastAsia="方正小标宋简体" w:cs="宋体"/>
          <w:color w:val="auto"/>
          <w:kern w:val="0"/>
          <w:sz w:val="24"/>
          <w:szCs w:val="24"/>
          <w:highlight w:val="none"/>
          <w:lang w:val="en-US" w:eastAsia="zh-CN" w:bidi="ar"/>
        </w:rPr>
        <w:t>表15  手术或操作技术种类及例数要求</w:t>
      </w:r>
    </w:p>
    <w:tbl>
      <w:tblPr>
        <w:tblStyle w:val="11"/>
        <w:tblpPr w:leftFromText="180" w:rightFromText="180" w:vertAnchor="text" w:horzAnchor="page" w:tblpX="1834" w:tblpY="244"/>
        <w:tblOverlap w:val="never"/>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5326"/>
        <w:gridCol w:w="3461"/>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0" w:hRule="atLeast"/>
          <w:jc w:val="center"/>
        </w:trPr>
        <w:tc>
          <w:tcPr>
            <w:tcW w:w="5326" w:type="dxa"/>
            <w:tcBorders>
              <w:top w:val="single" w:color="auto" w:sz="8" w:space="0"/>
              <w:bottom w:val="single" w:color="auto" w:sz="4" w:space="0"/>
              <w:right w:val="double" w:color="auto" w:sz="4" w:space="0"/>
            </w:tcBorders>
            <w:vAlign w:val="top"/>
          </w:tcPr>
          <w:p>
            <w:pPr>
              <w:widowControl/>
              <w:ind w:firstLine="422" w:firstLineChars="200"/>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手术名称</w:t>
            </w:r>
          </w:p>
        </w:tc>
        <w:tc>
          <w:tcPr>
            <w:tcW w:w="3461" w:type="dxa"/>
            <w:tcBorders>
              <w:top w:val="single" w:color="auto" w:sz="8" w:space="0"/>
              <w:left w:val="double" w:color="auto" w:sz="4" w:space="0"/>
              <w:bottom w:val="single" w:color="auto" w:sz="4" w:space="0"/>
              <w:right w:val="nil"/>
            </w:tcBorders>
            <w:vAlign w:val="top"/>
          </w:tcPr>
          <w:p>
            <w:pPr>
              <w:widowControl/>
              <w:ind w:firstLine="422" w:firstLineChars="200"/>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97" w:hRule="atLeast"/>
          <w:jc w:val="center"/>
        </w:trPr>
        <w:tc>
          <w:tcPr>
            <w:tcW w:w="5326" w:type="dxa"/>
            <w:tcBorders>
              <w:top w:val="single" w:color="auto" w:sz="4" w:space="0"/>
              <w:bottom w:val="nil"/>
              <w:right w:val="double" w:color="auto" w:sz="4" w:space="0"/>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eastAsia="zh-CN"/>
              </w:rPr>
              <w:t>硬膜下腔穿刺及引流术</w:t>
            </w:r>
          </w:p>
        </w:tc>
        <w:tc>
          <w:tcPr>
            <w:tcW w:w="3461" w:type="dxa"/>
            <w:tcBorders>
              <w:top w:val="single" w:color="auto" w:sz="4" w:space="0"/>
              <w:left w:val="double" w:color="auto" w:sz="4" w:space="0"/>
              <w:bottom w:val="nil"/>
              <w:right w:val="nil"/>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7" w:hRule="atLeast"/>
          <w:jc w:val="center"/>
        </w:trPr>
        <w:tc>
          <w:tcPr>
            <w:tcW w:w="5326" w:type="dxa"/>
            <w:tcBorders>
              <w:top w:val="nil"/>
              <w:bottom w:val="single" w:color="auto" w:sz="8" w:space="0"/>
              <w:right w:val="double" w:color="auto" w:sz="4" w:space="0"/>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spacing w:val="0"/>
                <w:w w:val="100"/>
                <w:kern w:val="0"/>
                <w:sz w:val="21"/>
                <w:szCs w:val="21"/>
                <w:highlight w:val="none"/>
              </w:rPr>
              <w:t>侧脑室穿刺及引流</w:t>
            </w:r>
            <w:r>
              <w:rPr>
                <w:rFonts w:hint="eastAsia" w:ascii="仿宋_GB2312" w:hAnsi="宋体" w:eastAsia="仿宋_GB2312" w:cs="宋体"/>
                <w:color w:val="auto"/>
                <w:w w:val="100"/>
                <w:kern w:val="0"/>
                <w:sz w:val="21"/>
                <w:szCs w:val="21"/>
                <w:highlight w:val="none"/>
              </w:rPr>
              <w:t>术</w:t>
            </w:r>
          </w:p>
        </w:tc>
        <w:tc>
          <w:tcPr>
            <w:tcW w:w="3461" w:type="dxa"/>
            <w:tcBorders>
              <w:top w:val="nil"/>
              <w:left w:val="double" w:color="auto" w:sz="4" w:space="0"/>
              <w:bottom w:val="single" w:color="auto" w:sz="8" w:space="0"/>
              <w:right w:val="nil"/>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bl>
    <w:p>
      <w:pPr>
        <w:widowControl/>
        <w:numPr>
          <w:ilvl w:val="0"/>
          <w:numId w:val="0"/>
        </w:numPr>
        <w:autoSpaceDE w:val="0"/>
        <w:autoSpaceDN w:val="0"/>
        <w:adjustRightInd w:val="0"/>
        <w:snapToGrid w:val="0"/>
        <w:spacing w:line="560" w:lineRule="exact"/>
        <w:ind w:firstLine="480" w:firstLineChars="200"/>
        <w:jc w:val="both"/>
        <w:rPr>
          <w:rFonts w:hint="eastAsia" w:ascii="仿宋_GB2312" w:hAnsi="Helvetica" w:eastAsia="仿宋_GB2312" w:cs="Helvetica"/>
          <w:color w:val="auto"/>
          <w:kern w:val="0"/>
          <w:position w:val="0"/>
          <w:sz w:val="32"/>
          <w:szCs w:val="32"/>
          <w:highlight w:val="none"/>
        </w:rPr>
      </w:pPr>
      <w:r>
        <w:rPr>
          <w:rFonts w:hint="eastAsia" w:ascii="方正小标宋简体" w:hAnsi="宋体" w:eastAsia="方正小标宋简体" w:cs="宋体"/>
          <w:color w:val="auto"/>
          <w:kern w:val="0"/>
          <w:sz w:val="24"/>
          <w:szCs w:val="24"/>
          <w:highlight w:val="none"/>
          <w:lang w:val="en-US" w:eastAsia="zh-CN" w:bidi="ar"/>
        </w:rPr>
        <w:t xml:space="preserve"> </w:t>
      </w:r>
      <w:r>
        <w:rPr>
          <w:rFonts w:hint="eastAsia" w:ascii="仿宋_GB2312" w:hAnsi="Helvetica" w:eastAsia="仿宋_GB2312" w:cs="Helvetica"/>
          <w:color w:val="auto"/>
          <w:kern w:val="0"/>
          <w:sz w:val="32"/>
          <w:szCs w:val="32"/>
          <w:highlight w:val="none"/>
          <w:lang w:val="en-US" w:eastAsia="zh-CN"/>
        </w:rPr>
        <w:t>c.</w:t>
      </w:r>
      <w:r>
        <w:rPr>
          <w:rFonts w:hint="eastAsia" w:ascii="仿宋_GB2312" w:hAnsi="Helvetica" w:eastAsia="仿宋_GB2312" w:cs="Helvetica"/>
          <w:color w:val="auto"/>
          <w:kern w:val="0"/>
          <w:sz w:val="32"/>
          <w:szCs w:val="32"/>
          <w:highlight w:val="none"/>
        </w:rPr>
        <w:t>参加所管床位患儿神经外科手术。</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rPr>
      </w:pPr>
      <w:r>
        <w:rPr>
          <w:rFonts w:hint="eastAsia" w:ascii="仿宋_GB2312" w:hAnsi="Helvetica" w:eastAsia="仿宋_GB2312" w:cs="Helvetica"/>
          <w:b w:val="0"/>
          <w:bCs w:val="0"/>
          <w:color w:val="auto"/>
          <w:kern w:val="0"/>
          <w:sz w:val="32"/>
          <w:szCs w:val="32"/>
          <w:highlight w:val="none"/>
          <w:lang w:val="en-US" w:eastAsia="zh-CN"/>
        </w:rPr>
        <w:t>（8）肿瘤外科</w:t>
      </w:r>
      <w:r>
        <w:rPr>
          <w:rFonts w:hint="eastAsia" w:ascii="仿宋_GB2312" w:hAnsi="Helvetica" w:eastAsia="仿宋_GB2312" w:cs="Helvetica"/>
          <w:b w:val="0"/>
          <w:bCs w:val="0"/>
          <w:color w:val="auto"/>
          <w:kern w:val="0"/>
          <w:sz w:val="32"/>
          <w:szCs w:val="32"/>
          <w:highlight w:val="none"/>
        </w:rPr>
        <w:t>(</w:t>
      </w:r>
      <w:r>
        <w:rPr>
          <w:rFonts w:hint="eastAsia" w:ascii="仿宋_GB2312" w:hAnsi="Helvetica" w:eastAsia="仿宋_GB2312" w:cs="Helvetica"/>
          <w:b w:val="0"/>
          <w:bCs w:val="0"/>
          <w:color w:val="auto"/>
          <w:kern w:val="0"/>
          <w:sz w:val="32"/>
          <w:szCs w:val="32"/>
          <w:highlight w:val="none"/>
          <w:lang w:val="en-US" w:eastAsia="zh-CN"/>
        </w:rPr>
        <w:t>3</w:t>
      </w:r>
      <w:r>
        <w:rPr>
          <w:rFonts w:hint="eastAsia" w:ascii="仿宋_GB2312" w:hAnsi="Helvetica" w:eastAsia="仿宋_GB2312" w:cs="Helvetica"/>
          <w:b w:val="0"/>
          <w:bCs w:val="0"/>
          <w:color w:val="auto"/>
          <w:kern w:val="0"/>
          <w:sz w:val="32"/>
          <w:szCs w:val="32"/>
          <w:highlight w:val="none"/>
        </w:rPr>
        <w:t>个月</w:t>
      </w:r>
      <w:r>
        <w:rPr>
          <w:rFonts w:hint="eastAsia" w:ascii="仿宋_GB2312" w:hAnsi="Helvetica" w:eastAsia="仿宋_GB2312" w:cs="Helvetica"/>
          <w:b w:val="0"/>
          <w:bCs w:val="0"/>
          <w:color w:val="auto"/>
          <w:kern w:val="0"/>
          <w:sz w:val="32"/>
          <w:szCs w:val="32"/>
          <w:highlight w:val="none"/>
          <w:lang w:eastAsia="zh-CN"/>
        </w:rPr>
        <w:t>，</w:t>
      </w:r>
      <w:r>
        <w:rPr>
          <w:rFonts w:hint="eastAsia" w:ascii="仿宋_GB2312" w:hAnsi="Helvetica" w:eastAsia="仿宋_GB2312" w:cs="Helvetica"/>
          <w:b w:val="0"/>
          <w:bCs w:val="0"/>
          <w:color w:val="auto"/>
          <w:kern w:val="0"/>
          <w:sz w:val="32"/>
          <w:szCs w:val="32"/>
          <w:highlight w:val="none"/>
          <w:lang w:val="en-US" w:eastAsia="zh-CN"/>
        </w:rPr>
        <w:t>肿瘤外科未独立设置的基地选转普通外科或泌尿外科)</w:t>
      </w:r>
    </w:p>
    <w:p>
      <w:pPr>
        <w:widowControl/>
        <w:numPr>
          <w:ilvl w:val="0"/>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w:t>
      </w:r>
      <w:r>
        <w:rPr>
          <w:rFonts w:hint="eastAsia" w:ascii="仿宋_GB2312" w:hAnsi="Helvetica" w:eastAsia="仿宋_GB2312" w:cs="Helvetica"/>
          <w:color w:val="auto"/>
          <w:kern w:val="0"/>
          <w:sz w:val="32"/>
          <w:szCs w:val="32"/>
          <w:highlight w:val="none"/>
          <w:lang w:val="en-US" w:eastAsia="zh-CN"/>
        </w:rPr>
        <w:t>:肿瘤外科病儿的病史采集及查体,肿瘤外科病儿手术前后处理(术前医嘱、术前准备、术后医嘱)及术后并发症处理;常见肿瘤留取各种临床标本的要求;浅表淋巴结活检等技术。</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熟悉：</w:t>
      </w:r>
      <w:r>
        <w:rPr>
          <w:rFonts w:hint="eastAsia" w:ascii="仿宋_GB2312" w:hAnsi="Helvetica" w:eastAsia="仿宋_GB2312" w:cs="Helvetica"/>
          <w:color w:val="auto"/>
          <w:kern w:val="0"/>
          <w:sz w:val="32"/>
          <w:szCs w:val="32"/>
          <w:highlight w:val="none"/>
          <w:lang w:val="en-US" w:eastAsia="zh-CN"/>
        </w:rPr>
        <w:t>小儿肿瘤外科各种常见病、多发病的发病机制、临床特点、诊断与鉴别诊断要点、治疗原则及随访规范;常见小儿恶性肿瘤的化疗、放疗原则;常用的诊疗操作技术,如血管瘤、淋巴管瘤的注药疗法等。</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了解：</w:t>
      </w:r>
      <w:r>
        <w:rPr>
          <w:rFonts w:hint="eastAsia" w:ascii="仿宋_GB2312" w:hAnsi="Helvetica" w:eastAsia="仿宋_GB2312" w:cs="Helvetica"/>
          <w:color w:val="auto"/>
          <w:kern w:val="0"/>
          <w:sz w:val="32"/>
          <w:szCs w:val="32"/>
          <w:highlight w:val="none"/>
          <w:lang w:val="en-US" w:eastAsia="zh-CN"/>
        </w:rPr>
        <w:t>小儿肿瘤外科各种常见病、多发病的发病机制、临床特点、诊断与鉴别诊断要点、治疗原则及随访规范;常见小儿恶性肿瘤的化疗、放疗原则;常用的诊疗操作技术,如血管瘤、淋巴管瘤的注药疗法等。</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autoSpaceDN/>
        <w:adjustRightInd/>
        <w:snapToGrid/>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①病种及例数要求</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见表16。</w:t>
      </w:r>
    </w:p>
    <w:p>
      <w:pPr>
        <w:widowControl/>
        <w:numPr>
          <w:ilvl w:val="-1"/>
          <w:numId w:val="0"/>
        </w:numPr>
        <w:autoSpaceDE/>
        <w:autoSpaceDN/>
        <w:adjustRightInd/>
        <w:snapToGrid/>
        <w:spacing w:line="560" w:lineRule="exact"/>
        <w:ind w:firstLine="480" w:firstLineChars="200"/>
        <w:jc w:val="both"/>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adjustRightInd/>
        <w:snapToGrid/>
        <w:spacing w:line="240" w:lineRule="auto"/>
        <w:ind w:firstLine="0" w:firstLineChars="0"/>
        <w:jc w:val="center"/>
        <w:rPr>
          <w:rFonts w:hint="default"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 xml:space="preserve">表16  病种及例数要求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3556"/>
        <w:gridCol w:w="1358"/>
        <w:gridCol w:w="2512"/>
        <w:gridCol w:w="1361"/>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61" w:hRule="atLeast"/>
          <w:jc w:val="center"/>
        </w:trPr>
        <w:tc>
          <w:tcPr>
            <w:tcW w:w="3556" w:type="dxa"/>
            <w:tcBorders>
              <w:top w:val="single" w:color="auto" w:sz="8" w:space="0"/>
              <w:bottom w:val="single" w:color="auto" w:sz="4" w:space="0"/>
              <w:right w:val="nil"/>
            </w:tcBorders>
            <w:vAlign w:val="top"/>
          </w:tcPr>
          <w:p>
            <w:pPr>
              <w:widowControl/>
              <w:ind w:firstLine="422" w:firstLineChars="200"/>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病种</w:t>
            </w:r>
          </w:p>
        </w:tc>
        <w:tc>
          <w:tcPr>
            <w:tcW w:w="1358" w:type="dxa"/>
            <w:tcBorders>
              <w:top w:val="single" w:color="auto" w:sz="8" w:space="0"/>
              <w:left w:val="nil"/>
              <w:bottom w:val="single" w:color="auto" w:sz="4" w:space="0"/>
              <w:right w:val="double" w:color="auto" w:sz="4" w:space="0"/>
            </w:tcBorders>
            <w:vAlign w:val="top"/>
          </w:tcPr>
          <w:p>
            <w:pPr>
              <w:widowControl/>
              <w:ind w:firstLine="0" w:firstLineChars="0"/>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2512" w:type="dxa"/>
            <w:tcBorders>
              <w:top w:val="single" w:color="auto" w:sz="8" w:space="0"/>
              <w:left w:val="double" w:color="auto" w:sz="4" w:space="0"/>
              <w:bottom w:val="single" w:color="auto" w:sz="4" w:space="0"/>
              <w:right w:val="nil"/>
            </w:tcBorders>
            <w:vAlign w:val="top"/>
          </w:tcPr>
          <w:p>
            <w:pPr>
              <w:widowControl/>
              <w:ind w:firstLine="422" w:firstLineChars="200"/>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病种</w:t>
            </w:r>
          </w:p>
        </w:tc>
        <w:tc>
          <w:tcPr>
            <w:tcW w:w="1361" w:type="dxa"/>
            <w:tcBorders>
              <w:top w:val="single" w:color="auto" w:sz="8" w:space="0"/>
              <w:left w:val="nil"/>
              <w:bottom w:val="single" w:color="auto" w:sz="4" w:space="0"/>
            </w:tcBorders>
            <w:vAlign w:val="top"/>
          </w:tcPr>
          <w:p>
            <w:pPr>
              <w:widowControl/>
              <w:ind w:firstLine="0" w:firstLineChars="0"/>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0" w:hRule="atLeast"/>
          <w:jc w:val="center"/>
        </w:trPr>
        <w:tc>
          <w:tcPr>
            <w:tcW w:w="3556" w:type="dxa"/>
            <w:tcBorders>
              <w:top w:val="single" w:color="auto" w:sz="4" w:space="0"/>
              <w:bottom w:val="nil"/>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血管瘤</w:t>
            </w:r>
          </w:p>
        </w:tc>
        <w:tc>
          <w:tcPr>
            <w:tcW w:w="1358" w:type="dxa"/>
            <w:tcBorders>
              <w:top w:val="single" w:color="auto" w:sz="4" w:space="0"/>
              <w:left w:val="nil"/>
              <w:bottom w:val="nil"/>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512" w:type="dxa"/>
            <w:tcBorders>
              <w:top w:val="single" w:color="auto" w:sz="4" w:space="0"/>
              <w:left w:val="double" w:color="auto" w:sz="4"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胰腺肿瘤</w:t>
            </w:r>
          </w:p>
        </w:tc>
        <w:tc>
          <w:tcPr>
            <w:tcW w:w="1361" w:type="dxa"/>
            <w:tcBorders>
              <w:top w:val="single" w:color="auto" w:sz="4" w:space="0"/>
              <w:left w:val="nil"/>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556" w:type="dxa"/>
            <w:tcBorders>
              <w:top w:val="nil"/>
              <w:bottom w:val="nil"/>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淋巴管瘤</w:t>
            </w:r>
          </w:p>
        </w:tc>
        <w:tc>
          <w:tcPr>
            <w:tcW w:w="1358" w:type="dxa"/>
            <w:tcBorders>
              <w:top w:val="nil"/>
              <w:left w:val="nil"/>
              <w:bottom w:val="nil"/>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512" w:type="dxa"/>
            <w:tcBorders>
              <w:left w:val="double" w:color="auto" w:sz="4"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肾上腺肿瘤</w:t>
            </w:r>
          </w:p>
        </w:tc>
        <w:tc>
          <w:tcPr>
            <w:tcW w:w="1361" w:type="dxa"/>
            <w:tcBorders>
              <w:left w:val="nil"/>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556" w:type="dxa"/>
            <w:tcBorders>
              <w:top w:val="nil"/>
              <w:bottom w:val="nil"/>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rPr>
              <w:t>神经母细胞瘤</w:t>
            </w:r>
          </w:p>
        </w:tc>
        <w:tc>
          <w:tcPr>
            <w:tcW w:w="1358" w:type="dxa"/>
            <w:tcBorders>
              <w:top w:val="nil"/>
              <w:left w:val="nil"/>
              <w:bottom w:val="nil"/>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512" w:type="dxa"/>
            <w:tcBorders>
              <w:left w:val="double" w:color="auto" w:sz="4"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卵巢肿瘤</w:t>
            </w:r>
          </w:p>
        </w:tc>
        <w:tc>
          <w:tcPr>
            <w:tcW w:w="1361" w:type="dxa"/>
            <w:tcBorders>
              <w:left w:val="nil"/>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3556" w:type="dxa"/>
            <w:tcBorders>
              <w:top w:val="nil"/>
              <w:bottom w:val="nil"/>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rPr>
              <w:t>畸胎瘤(骶尾部畸胎瘤、腹膜后畸胎瘤)</w:t>
            </w:r>
          </w:p>
        </w:tc>
        <w:tc>
          <w:tcPr>
            <w:tcW w:w="1358" w:type="dxa"/>
            <w:tcBorders>
              <w:top w:val="nil"/>
              <w:left w:val="nil"/>
              <w:bottom w:val="nil"/>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c>
          <w:tcPr>
            <w:tcW w:w="2512" w:type="dxa"/>
            <w:tcBorders>
              <w:left w:val="double" w:color="auto" w:sz="4"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软组织肉瘤</w:t>
            </w:r>
          </w:p>
        </w:tc>
        <w:tc>
          <w:tcPr>
            <w:tcW w:w="1361" w:type="dxa"/>
            <w:tcBorders>
              <w:left w:val="nil"/>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49" w:hRule="atLeast"/>
          <w:jc w:val="center"/>
        </w:trPr>
        <w:tc>
          <w:tcPr>
            <w:tcW w:w="3556" w:type="dxa"/>
            <w:tcBorders>
              <w:top w:val="nil"/>
              <w:bottom w:val="single" w:color="auto" w:sz="8"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rPr>
              <w:t>肝脏肿瘤</w:t>
            </w:r>
          </w:p>
        </w:tc>
        <w:tc>
          <w:tcPr>
            <w:tcW w:w="1358" w:type="dxa"/>
            <w:tcBorders>
              <w:top w:val="nil"/>
              <w:left w:val="nil"/>
              <w:bottom w:val="single" w:color="auto" w:sz="8" w:space="0"/>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c>
          <w:tcPr>
            <w:tcW w:w="2512" w:type="dxa"/>
            <w:tcBorders>
              <w:left w:val="double" w:color="auto" w:sz="4" w:space="0"/>
              <w:bottom w:val="single" w:color="auto" w:sz="8"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rPr>
              <w:t>卵巢囊肿(或肿瘤)蒂扭转</w:t>
            </w:r>
          </w:p>
        </w:tc>
        <w:tc>
          <w:tcPr>
            <w:tcW w:w="1361" w:type="dxa"/>
            <w:tcBorders>
              <w:left w:val="nil"/>
              <w:bottom w:val="single" w:color="auto" w:sz="8" w:space="0"/>
            </w:tcBorders>
            <w:vAlign w:val="top"/>
          </w:tcPr>
          <w:p>
            <w:pPr>
              <w:widowControl/>
              <w:spacing w:line="240" w:lineRule="auto"/>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 xml:space="preserve">②临床操作技术要求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a.</w:t>
      </w:r>
      <w:r>
        <w:rPr>
          <w:rFonts w:hint="eastAsia" w:ascii="仿宋_GB2312" w:hAnsi="Helvetica" w:eastAsia="仿宋_GB2312" w:cs="Helvetica"/>
          <w:color w:val="auto"/>
          <w:kern w:val="0"/>
          <w:sz w:val="32"/>
          <w:szCs w:val="32"/>
          <w:highlight w:val="none"/>
        </w:rPr>
        <w:t>书写住院病历不少于</w:t>
      </w: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0份,书写</w:t>
      </w:r>
      <w:r>
        <w:rPr>
          <w:rFonts w:hint="eastAsia" w:ascii="仿宋_GB2312" w:hAnsi="Helvetica" w:eastAsia="仿宋_GB2312" w:cs="Helvetica"/>
          <w:color w:val="auto"/>
          <w:kern w:val="0"/>
          <w:sz w:val="32"/>
          <w:szCs w:val="32"/>
          <w:highlight w:val="none"/>
          <w:lang w:val="en-US" w:eastAsia="zh-CN"/>
        </w:rPr>
        <w:t>入院记录</w:t>
      </w:r>
      <w:r>
        <w:rPr>
          <w:rFonts w:hint="eastAsia" w:ascii="仿宋_GB2312" w:hAnsi="Helvetica" w:eastAsia="仿宋_GB2312" w:cs="Helvetica"/>
          <w:color w:val="auto"/>
          <w:kern w:val="0"/>
          <w:sz w:val="32"/>
          <w:szCs w:val="32"/>
          <w:highlight w:val="none"/>
        </w:rPr>
        <w:t>不少于</w:t>
      </w:r>
      <w:r>
        <w:rPr>
          <w:rFonts w:hint="eastAsia" w:ascii="仿宋_GB2312" w:hAnsi="Helvetica" w:eastAsia="仿宋_GB2312" w:cs="Helvetica"/>
          <w:color w:val="auto"/>
          <w:kern w:val="0"/>
          <w:sz w:val="32"/>
          <w:szCs w:val="32"/>
          <w:highlight w:val="none"/>
          <w:lang w:val="en-US" w:eastAsia="zh-CN"/>
        </w:rPr>
        <w:t>5</w:t>
      </w:r>
      <w:r>
        <w:rPr>
          <w:rFonts w:hint="eastAsia" w:ascii="仿宋_GB2312" w:hAnsi="Helvetica" w:eastAsia="仿宋_GB2312" w:cs="Helvetica"/>
          <w:color w:val="auto"/>
          <w:kern w:val="0"/>
          <w:sz w:val="32"/>
          <w:szCs w:val="32"/>
          <w:highlight w:val="none"/>
        </w:rPr>
        <w:t>份。</w:t>
      </w:r>
    </w:p>
    <w:p>
      <w:pPr>
        <w:widowControl/>
        <w:autoSpaceDE/>
        <w:autoSpaceDN/>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w:t>
      </w:r>
      <w:r>
        <w:rPr>
          <w:rFonts w:hint="eastAsia" w:ascii="仿宋_GB2312" w:hAnsi="Helvetica" w:eastAsia="仿宋_GB2312" w:cs="Helvetica"/>
          <w:color w:val="auto"/>
          <w:kern w:val="0"/>
          <w:sz w:val="32"/>
          <w:szCs w:val="32"/>
          <w:highlight w:val="none"/>
          <w:lang w:val="en-US" w:eastAsia="zh-CN"/>
        </w:rPr>
        <w:t>以下</w:t>
      </w:r>
      <w:r>
        <w:rPr>
          <w:rFonts w:hint="eastAsia" w:ascii="仿宋_GB2312" w:hAnsi="Helvetica" w:eastAsia="仿宋_GB2312" w:cs="Helvetica"/>
          <w:color w:val="auto"/>
          <w:kern w:val="0"/>
          <w:sz w:val="32"/>
          <w:szCs w:val="32"/>
          <w:highlight w:val="none"/>
        </w:rPr>
        <w:t>手术</w:t>
      </w:r>
      <w:r>
        <w:rPr>
          <w:rFonts w:hint="eastAsia" w:ascii="仿宋_GB2312" w:hAnsi="Helvetica" w:eastAsia="仿宋_GB2312" w:cs="Helvetica"/>
          <w:color w:val="auto"/>
          <w:kern w:val="0"/>
          <w:sz w:val="32"/>
          <w:szCs w:val="32"/>
          <w:highlight w:val="none"/>
          <w:lang w:val="en-US" w:eastAsia="zh-CN"/>
        </w:rPr>
        <w:t>或操作，见表17</w:t>
      </w:r>
      <w:r>
        <w:rPr>
          <w:rFonts w:hint="eastAsia" w:ascii="仿宋_GB2312" w:hAnsi="Helvetica" w:eastAsia="仿宋_GB2312" w:cs="Helvetica"/>
          <w:color w:val="auto"/>
          <w:kern w:val="0"/>
          <w:sz w:val="32"/>
          <w:szCs w:val="32"/>
          <w:highlight w:val="none"/>
        </w:rPr>
        <w:t>。</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 xml:space="preserve">表17  手术或操作技术种类及例数要求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2851"/>
        <w:gridCol w:w="1440"/>
        <w:gridCol w:w="3204"/>
        <w:gridCol w:w="1292"/>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1" w:hRule="atLeast"/>
          <w:jc w:val="center"/>
        </w:trPr>
        <w:tc>
          <w:tcPr>
            <w:tcW w:w="1622" w:type="pct"/>
            <w:tcBorders>
              <w:top w:val="single" w:color="auto" w:sz="8" w:space="0"/>
              <w:bottom w:val="single" w:color="auto" w:sz="4" w:space="0"/>
              <w:right w:val="nil"/>
            </w:tcBorders>
            <w:vAlign w:val="top"/>
          </w:tcPr>
          <w:p>
            <w:pPr>
              <w:widowControl/>
              <w:spacing w:line="240" w:lineRule="auto"/>
              <w:ind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手术名称</w:t>
            </w:r>
          </w:p>
        </w:tc>
        <w:tc>
          <w:tcPr>
            <w:tcW w:w="819" w:type="pct"/>
            <w:tcBorders>
              <w:top w:val="single" w:color="auto" w:sz="8" w:space="0"/>
              <w:left w:val="nil"/>
              <w:bottom w:val="single" w:color="auto" w:sz="4" w:space="0"/>
              <w:right w:val="double" w:color="auto" w:sz="4" w:space="0"/>
            </w:tcBorders>
            <w:vAlign w:val="top"/>
          </w:tcPr>
          <w:p>
            <w:pPr>
              <w:widowControl/>
              <w:spacing w:line="240" w:lineRule="auto"/>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1823" w:type="pct"/>
            <w:tcBorders>
              <w:top w:val="single" w:color="auto" w:sz="8" w:space="0"/>
              <w:left w:val="double" w:color="auto" w:sz="4" w:space="0"/>
              <w:bottom w:val="single" w:color="auto" w:sz="4" w:space="0"/>
              <w:right w:val="nil"/>
            </w:tcBorders>
            <w:vAlign w:val="top"/>
          </w:tcPr>
          <w:p>
            <w:pPr>
              <w:widowControl/>
              <w:spacing w:line="240" w:lineRule="auto"/>
              <w:ind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手术名称</w:t>
            </w:r>
          </w:p>
        </w:tc>
        <w:tc>
          <w:tcPr>
            <w:tcW w:w="735" w:type="pct"/>
            <w:tcBorders>
              <w:top w:val="single" w:color="auto" w:sz="8" w:space="0"/>
              <w:left w:val="nil"/>
              <w:bottom w:val="single" w:color="auto" w:sz="4" w:space="0"/>
            </w:tcBorders>
            <w:vAlign w:val="top"/>
          </w:tcPr>
          <w:p>
            <w:pPr>
              <w:widowControl/>
              <w:spacing w:line="240" w:lineRule="auto"/>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1622" w:type="pct"/>
            <w:tcBorders>
              <w:top w:val="single" w:color="auto" w:sz="4" w:space="0"/>
              <w:bottom w:val="nil"/>
              <w:right w:val="nil"/>
            </w:tcBorders>
            <w:vAlign w:val="top"/>
          </w:tcPr>
          <w:p>
            <w:pPr>
              <w:widowControl/>
              <w:spacing w:line="240" w:lineRule="auto"/>
              <w:ind w:left="0" w:right="233" w:rightChars="111"/>
              <w:jc w:val="both"/>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 w:val="21"/>
                <w:szCs w:val="21"/>
                <w:highlight w:val="none"/>
                <w:lang w:eastAsia="zh-CN"/>
              </w:rPr>
              <w:t>淋巴结活检术</w:t>
            </w:r>
          </w:p>
        </w:tc>
        <w:tc>
          <w:tcPr>
            <w:tcW w:w="819" w:type="pct"/>
            <w:tcBorders>
              <w:top w:val="single" w:color="auto" w:sz="4" w:space="0"/>
              <w:left w:val="nil"/>
              <w:bottom w:val="nil"/>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 w:val="21"/>
                <w:szCs w:val="21"/>
                <w:highlight w:val="none"/>
                <w:lang w:val="en-US" w:eastAsia="zh-CN"/>
              </w:rPr>
              <w:t>3</w:t>
            </w:r>
          </w:p>
        </w:tc>
        <w:tc>
          <w:tcPr>
            <w:tcW w:w="1823" w:type="pct"/>
            <w:tcBorders>
              <w:top w:val="single" w:color="auto" w:sz="4" w:space="0"/>
              <w:left w:val="double" w:color="auto" w:sz="4"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 w:val="21"/>
                <w:szCs w:val="21"/>
                <w:highlight w:val="none"/>
                <w:lang w:eastAsia="zh-CN"/>
              </w:rPr>
              <w:t>肿瘤活检术</w:t>
            </w:r>
          </w:p>
        </w:tc>
        <w:tc>
          <w:tcPr>
            <w:tcW w:w="735" w:type="pct"/>
            <w:tcBorders>
              <w:top w:val="single" w:color="auto" w:sz="4" w:space="0"/>
              <w:left w:val="nil"/>
            </w:tcBorders>
            <w:vAlign w:val="top"/>
          </w:tcPr>
          <w:p>
            <w:pPr>
              <w:widowControl/>
              <w:spacing w:line="240" w:lineRule="auto"/>
              <w:ind w:right="233" w:rightChars="111" w:firstLine="0" w:firstLineChars="0"/>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 w:val="21"/>
                <w:szCs w:val="21"/>
                <w:highlight w:val="none"/>
                <w:lang w:val="en-US" w:eastAsia="zh-CN"/>
              </w:rPr>
              <w:t>5</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10" w:hRule="atLeast"/>
          <w:jc w:val="center"/>
        </w:trPr>
        <w:tc>
          <w:tcPr>
            <w:tcW w:w="1622" w:type="pct"/>
            <w:tcBorders>
              <w:top w:val="nil"/>
              <w:bottom w:val="single" w:color="auto" w:sz="8"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 w:val="21"/>
                <w:szCs w:val="21"/>
                <w:highlight w:val="none"/>
                <w:lang w:eastAsia="zh-CN"/>
              </w:rPr>
              <w:t>局限性肿瘤切除术</w:t>
            </w:r>
          </w:p>
        </w:tc>
        <w:tc>
          <w:tcPr>
            <w:tcW w:w="819" w:type="pct"/>
            <w:tcBorders>
              <w:top w:val="nil"/>
              <w:left w:val="nil"/>
              <w:bottom w:val="single" w:color="auto" w:sz="8" w:space="0"/>
              <w:right w:val="double" w:color="auto" w:sz="4" w:space="0"/>
            </w:tcBorders>
            <w:vAlign w:val="top"/>
          </w:tcPr>
          <w:p>
            <w:pPr>
              <w:widowControl/>
              <w:spacing w:line="240" w:lineRule="auto"/>
              <w:ind w:right="233" w:rightChars="111"/>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 w:val="21"/>
                <w:szCs w:val="21"/>
                <w:highlight w:val="none"/>
                <w:lang w:val="en-US" w:eastAsia="zh-CN"/>
              </w:rPr>
              <w:t>5</w:t>
            </w:r>
          </w:p>
        </w:tc>
        <w:tc>
          <w:tcPr>
            <w:tcW w:w="1823" w:type="pct"/>
            <w:tcBorders>
              <w:left w:val="double" w:color="auto" w:sz="4" w:space="0"/>
              <w:bottom w:val="single" w:color="auto" w:sz="8" w:space="0"/>
              <w:right w:val="nil"/>
            </w:tcBorders>
            <w:vAlign w:val="top"/>
          </w:tcPr>
          <w:p>
            <w:pPr>
              <w:widowControl/>
              <w:spacing w:line="240" w:lineRule="auto"/>
              <w:ind w:left="0" w:right="233" w:rightChars="111"/>
              <w:jc w:val="both"/>
              <w:rPr>
                <w:rFonts w:hint="eastAsia" w:ascii="仿宋_GB2312" w:hAnsi="宋体" w:eastAsia="仿宋_GB2312" w:cs="宋体"/>
                <w:color w:val="auto"/>
                <w:kern w:val="0"/>
                <w:szCs w:val="21"/>
                <w:highlight w:val="none"/>
              </w:rPr>
            </w:pPr>
          </w:p>
        </w:tc>
        <w:tc>
          <w:tcPr>
            <w:tcW w:w="735" w:type="pct"/>
            <w:tcBorders>
              <w:left w:val="nil"/>
              <w:bottom w:val="single" w:color="auto" w:sz="8" w:space="0"/>
            </w:tcBorders>
            <w:vAlign w:val="top"/>
          </w:tcPr>
          <w:p>
            <w:pPr>
              <w:widowControl/>
              <w:spacing w:line="240" w:lineRule="auto"/>
              <w:ind w:right="233" w:rightChars="111"/>
              <w:jc w:val="center"/>
              <w:rPr>
                <w:rFonts w:hint="eastAsia" w:ascii="仿宋_GB2312" w:hAnsi="宋体" w:eastAsia="仿宋_GB2312" w:cs="宋体"/>
                <w:color w:val="auto"/>
                <w:kern w:val="0"/>
                <w:szCs w:val="21"/>
                <w:highlight w:val="none"/>
              </w:rPr>
            </w:pP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 xml:space="preserve"> </w:t>
      </w:r>
      <w:r>
        <w:rPr>
          <w:rFonts w:hint="eastAsia" w:ascii="仿宋_GB2312" w:hAnsi="Helvetica" w:eastAsia="仿宋_GB2312" w:cs="Helvetica"/>
          <w:color w:val="auto"/>
          <w:kern w:val="0"/>
          <w:sz w:val="32"/>
          <w:szCs w:val="32"/>
          <w:highlight w:val="none"/>
          <w:lang w:val="en-US" w:eastAsia="zh-CN"/>
        </w:rPr>
        <w:t>c.</w:t>
      </w:r>
      <w:r>
        <w:rPr>
          <w:rFonts w:hint="eastAsia" w:ascii="仿宋_GB2312" w:hAnsi="Helvetica" w:eastAsia="仿宋_GB2312" w:cs="Helvetica"/>
          <w:color w:val="auto"/>
          <w:kern w:val="0"/>
          <w:sz w:val="32"/>
          <w:szCs w:val="32"/>
          <w:highlight w:val="none"/>
        </w:rPr>
        <w:t>参加所管床位患儿肿瘤外科手术。</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rPr>
      </w:pPr>
      <w:r>
        <w:rPr>
          <w:rFonts w:hint="eastAsia" w:ascii="仿宋_GB2312" w:hAnsi="Helvetica" w:eastAsia="仿宋_GB2312" w:cs="Helvetica"/>
          <w:b w:val="0"/>
          <w:bCs w:val="0"/>
          <w:color w:val="auto"/>
          <w:kern w:val="0"/>
          <w:sz w:val="32"/>
          <w:szCs w:val="32"/>
          <w:highlight w:val="none"/>
          <w:lang w:val="en-US" w:eastAsia="zh-CN"/>
        </w:rPr>
        <w:t>（9）烧伤整形</w:t>
      </w:r>
      <w:r>
        <w:rPr>
          <w:rFonts w:hint="eastAsia" w:ascii="仿宋_GB2312" w:hAnsi="Helvetica" w:eastAsia="仿宋_GB2312" w:cs="Helvetica"/>
          <w:b w:val="0"/>
          <w:bCs w:val="0"/>
          <w:color w:val="auto"/>
          <w:kern w:val="0"/>
          <w:sz w:val="32"/>
          <w:szCs w:val="32"/>
          <w:highlight w:val="none"/>
        </w:rPr>
        <w:t>外科(</w:t>
      </w:r>
      <w:r>
        <w:rPr>
          <w:rFonts w:hint="eastAsia" w:ascii="仿宋_GB2312" w:hAnsi="Helvetica" w:eastAsia="仿宋_GB2312" w:cs="Helvetica"/>
          <w:b w:val="0"/>
          <w:bCs w:val="0"/>
          <w:color w:val="auto"/>
          <w:kern w:val="0"/>
          <w:sz w:val="32"/>
          <w:szCs w:val="32"/>
          <w:highlight w:val="none"/>
          <w:lang w:val="en-US" w:eastAsia="zh-CN"/>
        </w:rPr>
        <w:t>3</w:t>
      </w:r>
      <w:r>
        <w:rPr>
          <w:rFonts w:hint="eastAsia" w:ascii="仿宋_GB2312" w:hAnsi="Helvetica" w:eastAsia="仿宋_GB2312" w:cs="Helvetica"/>
          <w:b w:val="0"/>
          <w:bCs w:val="0"/>
          <w:color w:val="auto"/>
          <w:kern w:val="0"/>
          <w:sz w:val="32"/>
          <w:szCs w:val="32"/>
          <w:highlight w:val="none"/>
        </w:rPr>
        <w:t>个月</w:t>
      </w:r>
      <w:r>
        <w:rPr>
          <w:rFonts w:hint="eastAsia" w:ascii="仿宋_GB2312" w:hAnsi="Helvetica" w:eastAsia="仿宋_GB2312" w:cs="Helvetica"/>
          <w:b w:val="0"/>
          <w:bCs w:val="0"/>
          <w:color w:val="auto"/>
          <w:kern w:val="0"/>
          <w:sz w:val="32"/>
          <w:szCs w:val="32"/>
          <w:highlight w:val="none"/>
          <w:lang w:eastAsia="zh-CN"/>
        </w:rPr>
        <w:t>，</w:t>
      </w:r>
      <w:r>
        <w:rPr>
          <w:rFonts w:hint="eastAsia" w:ascii="仿宋_GB2312" w:hAnsi="Helvetica" w:eastAsia="仿宋_GB2312" w:cs="Helvetica"/>
          <w:b w:val="0"/>
          <w:bCs w:val="0"/>
          <w:color w:val="auto"/>
          <w:kern w:val="0"/>
          <w:sz w:val="32"/>
          <w:szCs w:val="32"/>
          <w:highlight w:val="none"/>
          <w:lang w:val="en-US" w:eastAsia="zh-CN"/>
        </w:rPr>
        <w:t>烧伤整形外科未独立设置的基地可轮转普通外科)</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掌握：烧伤整形外科患儿的查体、烧伤面积的计算;烧伤整形外科病儿手术前后处理(术前医嘱、术前准备、术后医嘱)及术后并发症处理;烧伤病儿的液体疗法;普通烧伤换药技术。</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熟悉：烧伤整形外科各种常见病、多发病的发病机制、临床特点、诊断与鉴别诊断要点、治疗原则及随访规范;大面积烧烫伤的初步处理;常用的诊疗操作技术,如Z成型延长等。</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了解：烧伤整形外科少见病和罕见病的临床特点、诊断与鉴别诊断及治疗原则;烧伤休克、大面积烧伤、烧伤败血症、烧伤合并应激性溃疡、重度烧伤病儿早期 切、削痂等治疗;特殊诊疗方法和技术,如大面积烧伤创面处理、各种植皮手术及 整形手术等。</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①病种及例数要求</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见表18。</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default"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 xml:space="preserve">表18  病种及例数要求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933"/>
        <w:gridCol w:w="1576"/>
        <w:gridCol w:w="2922"/>
        <w:gridCol w:w="135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4" w:hRule="atLeast"/>
          <w:jc w:val="center"/>
        </w:trPr>
        <w:tc>
          <w:tcPr>
            <w:tcW w:w="2912" w:type="dxa"/>
            <w:tcBorders>
              <w:top w:val="single" w:color="auto" w:sz="8" w:space="0"/>
              <w:bottom w:val="single" w:color="auto" w:sz="4" w:space="0"/>
              <w:right w:val="nil"/>
            </w:tcBorders>
            <w:vAlign w:val="top"/>
          </w:tcPr>
          <w:p>
            <w:pPr>
              <w:widowControl/>
              <w:ind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病种</w:t>
            </w:r>
          </w:p>
        </w:tc>
        <w:tc>
          <w:tcPr>
            <w:tcW w:w="1564" w:type="dxa"/>
            <w:tcBorders>
              <w:top w:val="single" w:color="auto" w:sz="8" w:space="0"/>
              <w:left w:val="nil"/>
              <w:bottom w:val="single" w:color="auto" w:sz="4" w:space="0"/>
              <w:right w:val="double" w:color="auto" w:sz="4" w:space="0"/>
            </w:tcBorders>
            <w:vAlign w:val="top"/>
          </w:tcPr>
          <w:p>
            <w:pPr>
              <w:widowControl/>
              <w:ind w:firstLine="422" w:firstLineChars="200"/>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2900" w:type="dxa"/>
            <w:tcBorders>
              <w:top w:val="single" w:color="auto" w:sz="8" w:space="0"/>
              <w:left w:val="double" w:color="auto" w:sz="4" w:space="0"/>
              <w:bottom w:val="single" w:color="auto" w:sz="4" w:space="0"/>
              <w:right w:val="nil"/>
            </w:tcBorders>
            <w:vAlign w:val="top"/>
          </w:tcPr>
          <w:p>
            <w:pPr>
              <w:widowControl/>
              <w:ind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病种</w:t>
            </w:r>
          </w:p>
        </w:tc>
        <w:tc>
          <w:tcPr>
            <w:tcW w:w="1346" w:type="dxa"/>
            <w:tcBorders>
              <w:top w:val="single" w:color="auto" w:sz="8" w:space="0"/>
              <w:left w:val="nil"/>
              <w:bottom w:val="single" w:color="auto" w:sz="4" w:space="0"/>
            </w:tcBorders>
            <w:vAlign w:val="top"/>
          </w:tcPr>
          <w:p>
            <w:pPr>
              <w:widowControl/>
              <w:ind w:firstLine="0" w:firstLineChars="0"/>
              <w:jc w:val="center"/>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2912" w:type="dxa"/>
            <w:tcBorders>
              <w:top w:val="single" w:color="auto" w:sz="4" w:space="0"/>
              <w:bottom w:val="nil"/>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火焰烧伤</w:t>
            </w:r>
          </w:p>
        </w:tc>
        <w:tc>
          <w:tcPr>
            <w:tcW w:w="1564" w:type="dxa"/>
            <w:tcBorders>
              <w:top w:val="single" w:color="auto" w:sz="4" w:space="0"/>
              <w:left w:val="nil"/>
              <w:bottom w:val="nil"/>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c>
          <w:tcPr>
            <w:tcW w:w="2900" w:type="dxa"/>
            <w:tcBorders>
              <w:top w:val="single" w:color="auto" w:sz="4" w:space="0"/>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体表血管瘤</w:t>
            </w:r>
          </w:p>
        </w:tc>
        <w:tc>
          <w:tcPr>
            <w:tcW w:w="1346" w:type="dxa"/>
            <w:tcBorders>
              <w:top w:val="single" w:color="auto" w:sz="4" w:space="0"/>
              <w:left w:val="nil"/>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2912" w:type="dxa"/>
            <w:tcBorders>
              <w:top w:val="nil"/>
              <w:bottom w:val="nil"/>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热水烫伤</w:t>
            </w:r>
          </w:p>
        </w:tc>
        <w:tc>
          <w:tcPr>
            <w:tcW w:w="1564" w:type="dxa"/>
            <w:tcBorders>
              <w:top w:val="nil"/>
              <w:left w:val="nil"/>
              <w:bottom w:val="nil"/>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2900" w:type="dxa"/>
            <w:tcBorders>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体表肿瘤</w:t>
            </w:r>
          </w:p>
        </w:tc>
        <w:tc>
          <w:tcPr>
            <w:tcW w:w="1346" w:type="dxa"/>
            <w:tcBorders>
              <w:left w:val="nil"/>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2912" w:type="dxa"/>
            <w:tcBorders>
              <w:top w:val="nil"/>
              <w:bottom w:val="nil"/>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化学烧伤</w:t>
            </w:r>
          </w:p>
        </w:tc>
        <w:tc>
          <w:tcPr>
            <w:tcW w:w="1564" w:type="dxa"/>
            <w:tcBorders>
              <w:top w:val="nil"/>
              <w:left w:val="nil"/>
              <w:bottom w:val="nil"/>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c>
          <w:tcPr>
            <w:tcW w:w="2900" w:type="dxa"/>
            <w:tcBorders>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多指畸形</w:t>
            </w:r>
          </w:p>
        </w:tc>
        <w:tc>
          <w:tcPr>
            <w:tcW w:w="1346" w:type="dxa"/>
            <w:tcBorders>
              <w:left w:val="nil"/>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2912" w:type="dxa"/>
            <w:tcBorders>
              <w:top w:val="nil"/>
              <w:bottom w:val="single" w:color="auto" w:sz="8"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电击伤</w:t>
            </w:r>
          </w:p>
        </w:tc>
        <w:tc>
          <w:tcPr>
            <w:tcW w:w="1564" w:type="dxa"/>
            <w:tcBorders>
              <w:top w:val="nil"/>
              <w:left w:val="nil"/>
              <w:bottom w:val="single" w:color="auto" w:sz="8" w:space="0"/>
              <w:right w:val="double" w:color="auto" w:sz="4" w:space="0"/>
            </w:tcBorders>
            <w:vAlign w:val="top"/>
          </w:tcPr>
          <w:p>
            <w:pPr>
              <w:widowControl/>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1</w:t>
            </w:r>
          </w:p>
        </w:tc>
        <w:tc>
          <w:tcPr>
            <w:tcW w:w="2900" w:type="dxa"/>
            <w:tcBorders>
              <w:left w:val="double" w:color="auto" w:sz="4" w:space="0"/>
              <w:bottom w:val="single" w:color="auto" w:sz="8"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瘢痕挛缩</w:t>
            </w:r>
          </w:p>
        </w:tc>
        <w:tc>
          <w:tcPr>
            <w:tcW w:w="1346" w:type="dxa"/>
            <w:tcBorders>
              <w:left w:val="nil"/>
              <w:bottom w:val="single" w:color="auto" w:sz="8" w:space="0"/>
            </w:tcBorders>
            <w:vAlign w:val="top"/>
          </w:tcPr>
          <w:p>
            <w:pPr>
              <w:widowControl/>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rPr>
              <w:t>1</w:t>
            </w: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 xml:space="preserve">②临床操作技术要求 </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a.</w:t>
      </w:r>
      <w:r>
        <w:rPr>
          <w:rFonts w:hint="eastAsia" w:ascii="仿宋_GB2312" w:hAnsi="Helvetica" w:eastAsia="仿宋_GB2312" w:cs="Helvetica"/>
          <w:color w:val="auto"/>
          <w:kern w:val="0"/>
          <w:sz w:val="32"/>
          <w:szCs w:val="32"/>
          <w:highlight w:val="none"/>
        </w:rPr>
        <w:t>书写住院病历不少于</w:t>
      </w: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0份,书写大病历不少于</w:t>
      </w:r>
      <w:r>
        <w:rPr>
          <w:rFonts w:hint="eastAsia" w:ascii="仿宋_GB2312" w:hAnsi="Helvetica" w:eastAsia="仿宋_GB2312" w:cs="Helvetica"/>
          <w:color w:val="auto"/>
          <w:kern w:val="0"/>
          <w:sz w:val="32"/>
          <w:szCs w:val="32"/>
          <w:highlight w:val="none"/>
          <w:lang w:val="en-US" w:eastAsia="zh-CN"/>
        </w:rPr>
        <w:t>5</w:t>
      </w:r>
      <w:r>
        <w:rPr>
          <w:rFonts w:hint="eastAsia" w:ascii="仿宋_GB2312" w:hAnsi="Helvetica" w:eastAsia="仿宋_GB2312" w:cs="Helvetica"/>
          <w:color w:val="auto"/>
          <w:kern w:val="0"/>
          <w:sz w:val="32"/>
          <w:szCs w:val="32"/>
          <w:highlight w:val="none"/>
        </w:rPr>
        <w:t>份。</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b.</w:t>
      </w:r>
      <w:r>
        <w:rPr>
          <w:rFonts w:hint="eastAsia" w:ascii="仿宋_GB2312" w:hAnsi="Helvetica" w:eastAsia="仿宋_GB2312" w:cs="Helvetica"/>
          <w:color w:val="auto"/>
          <w:kern w:val="0"/>
          <w:sz w:val="32"/>
          <w:szCs w:val="32"/>
          <w:highlight w:val="none"/>
        </w:rPr>
        <w:t>在上级医师指导下完成</w:t>
      </w:r>
      <w:r>
        <w:rPr>
          <w:rFonts w:hint="eastAsia" w:ascii="仿宋_GB2312" w:hAnsi="Helvetica" w:eastAsia="仿宋_GB2312" w:cs="Helvetica"/>
          <w:color w:val="auto"/>
          <w:kern w:val="0"/>
          <w:sz w:val="32"/>
          <w:szCs w:val="32"/>
          <w:highlight w:val="none"/>
          <w:lang w:val="en-US" w:eastAsia="zh-CN"/>
        </w:rPr>
        <w:t>以下</w:t>
      </w:r>
      <w:r>
        <w:rPr>
          <w:rFonts w:hint="eastAsia" w:ascii="仿宋_GB2312" w:hAnsi="Helvetica" w:eastAsia="仿宋_GB2312" w:cs="Helvetica"/>
          <w:color w:val="auto"/>
          <w:kern w:val="0"/>
          <w:sz w:val="32"/>
          <w:szCs w:val="32"/>
          <w:highlight w:val="none"/>
        </w:rPr>
        <w:t>手术</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见表19</w:t>
      </w:r>
      <w:r>
        <w:rPr>
          <w:rFonts w:hint="eastAsia" w:ascii="仿宋_GB2312" w:hAnsi="Helvetica" w:eastAsia="仿宋_GB2312" w:cs="Helvetica"/>
          <w:color w:val="auto"/>
          <w:kern w:val="0"/>
          <w:sz w:val="32"/>
          <w:szCs w:val="32"/>
          <w:highlight w:val="none"/>
        </w:rPr>
        <w:t>。</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表19  手术或操作技术种类及例数要求</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806"/>
        <w:gridCol w:w="244"/>
        <w:gridCol w:w="1241"/>
        <w:gridCol w:w="2880"/>
        <w:gridCol w:w="417"/>
        <w:gridCol w:w="1199"/>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24" w:hRule="atLeast"/>
          <w:jc w:val="center"/>
        </w:trPr>
        <w:tc>
          <w:tcPr>
            <w:tcW w:w="2806" w:type="dxa"/>
            <w:tcBorders>
              <w:top w:val="single" w:color="auto" w:sz="8" w:space="0"/>
              <w:bottom w:val="single" w:color="auto" w:sz="4" w:space="0"/>
              <w:right w:val="nil"/>
            </w:tcBorders>
            <w:vAlign w:val="top"/>
          </w:tcPr>
          <w:p>
            <w:pPr>
              <w:widowControl/>
              <w:jc w:val="left"/>
              <w:rPr>
                <w:rFonts w:hint="eastAsia" w:ascii="黑体" w:hAnsi="黑体" w:eastAsia="黑体" w:cs="黑体"/>
                <w:b/>
                <w:bCs/>
                <w:color w:val="auto"/>
                <w:kern w:val="2"/>
                <w:szCs w:val="21"/>
                <w:highlight w:val="none"/>
              </w:rPr>
            </w:pPr>
            <w:r>
              <w:rPr>
                <w:rFonts w:hint="eastAsia" w:ascii="黑体" w:hAnsi="黑体" w:eastAsia="黑体" w:cs="黑体"/>
                <w:b/>
                <w:bCs/>
                <w:color w:val="auto"/>
                <w:kern w:val="2"/>
                <w:sz w:val="21"/>
                <w:szCs w:val="21"/>
                <w:highlight w:val="none"/>
                <w:lang w:eastAsia="zh-CN"/>
              </w:rPr>
              <w:t>手术名称</w:t>
            </w:r>
          </w:p>
        </w:tc>
        <w:tc>
          <w:tcPr>
            <w:tcW w:w="1485" w:type="dxa"/>
            <w:gridSpan w:val="2"/>
            <w:tcBorders>
              <w:top w:val="single" w:color="auto" w:sz="8" w:space="0"/>
              <w:left w:val="nil"/>
              <w:bottom w:val="single" w:color="auto" w:sz="4" w:space="0"/>
              <w:right w:val="double" w:color="auto" w:sz="4" w:space="0"/>
            </w:tcBorders>
            <w:vAlign w:val="top"/>
          </w:tcPr>
          <w:p>
            <w:pPr>
              <w:widowControl/>
              <w:ind w:firstLine="422" w:firstLineChars="200"/>
              <w:jc w:val="left"/>
              <w:rPr>
                <w:rFonts w:hint="eastAsia" w:ascii="黑体" w:hAnsi="黑体" w:eastAsia="黑体" w:cs="黑体"/>
                <w:b/>
                <w:bCs/>
                <w:color w:val="auto"/>
                <w:kern w:val="2"/>
                <w:szCs w:val="21"/>
                <w:highlight w:val="none"/>
              </w:rPr>
            </w:pPr>
            <w:r>
              <w:rPr>
                <w:rFonts w:hint="eastAsia" w:ascii="黑体" w:hAnsi="黑体" w:eastAsia="黑体" w:cs="黑体"/>
                <w:b/>
                <w:bCs/>
                <w:color w:val="auto"/>
                <w:kern w:val="2"/>
                <w:sz w:val="21"/>
                <w:szCs w:val="21"/>
                <w:highlight w:val="none"/>
                <w:lang w:eastAsia="zh-CN"/>
              </w:rPr>
              <w:t>最低例数</w:t>
            </w:r>
          </w:p>
        </w:tc>
        <w:tc>
          <w:tcPr>
            <w:tcW w:w="2880" w:type="dxa"/>
            <w:tcBorders>
              <w:top w:val="single" w:color="auto" w:sz="8" w:space="0"/>
              <w:left w:val="double" w:color="auto" w:sz="4" w:space="0"/>
              <w:bottom w:val="single" w:color="auto" w:sz="4" w:space="0"/>
              <w:right w:val="nil"/>
            </w:tcBorders>
            <w:vAlign w:val="top"/>
          </w:tcPr>
          <w:p>
            <w:pPr>
              <w:widowControl/>
              <w:jc w:val="left"/>
              <w:rPr>
                <w:rFonts w:hint="eastAsia" w:ascii="黑体" w:hAnsi="黑体" w:eastAsia="黑体" w:cs="黑体"/>
                <w:b/>
                <w:bCs/>
                <w:color w:val="auto"/>
                <w:kern w:val="2"/>
                <w:szCs w:val="21"/>
                <w:highlight w:val="none"/>
              </w:rPr>
            </w:pPr>
            <w:r>
              <w:rPr>
                <w:rFonts w:hint="eastAsia" w:ascii="黑体" w:hAnsi="黑体" w:eastAsia="黑体" w:cs="黑体"/>
                <w:b/>
                <w:bCs/>
                <w:color w:val="auto"/>
                <w:kern w:val="2"/>
                <w:sz w:val="21"/>
                <w:szCs w:val="21"/>
                <w:highlight w:val="none"/>
                <w:lang w:eastAsia="zh-CN"/>
              </w:rPr>
              <w:t>手术名称</w:t>
            </w:r>
          </w:p>
        </w:tc>
        <w:tc>
          <w:tcPr>
            <w:tcW w:w="1616" w:type="dxa"/>
            <w:gridSpan w:val="2"/>
            <w:tcBorders>
              <w:top w:val="single" w:color="auto" w:sz="8" w:space="0"/>
              <w:left w:val="nil"/>
              <w:bottom w:val="single" w:color="auto" w:sz="4" w:space="0"/>
            </w:tcBorders>
            <w:vAlign w:val="top"/>
          </w:tcPr>
          <w:p>
            <w:pPr>
              <w:widowControl/>
              <w:ind w:firstLine="422" w:firstLineChars="200"/>
              <w:jc w:val="left"/>
              <w:rPr>
                <w:rFonts w:hint="eastAsia" w:ascii="黑体" w:hAnsi="黑体" w:eastAsia="黑体" w:cs="黑体"/>
                <w:b/>
                <w:bCs/>
                <w:color w:val="auto"/>
                <w:kern w:val="2"/>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30" w:hRule="atLeast"/>
          <w:jc w:val="center"/>
        </w:trPr>
        <w:tc>
          <w:tcPr>
            <w:tcW w:w="3050" w:type="dxa"/>
            <w:gridSpan w:val="2"/>
            <w:tcBorders>
              <w:top w:val="single" w:color="auto" w:sz="4" w:space="0"/>
              <w:bottom w:val="nil"/>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烧伤切痂植皮术</w:t>
            </w:r>
          </w:p>
        </w:tc>
        <w:tc>
          <w:tcPr>
            <w:tcW w:w="1241" w:type="dxa"/>
            <w:tcBorders>
              <w:top w:val="single" w:color="auto" w:sz="4" w:space="0"/>
              <w:left w:val="nil"/>
              <w:bottom w:val="nil"/>
              <w:right w:val="double" w:color="auto" w:sz="4" w:space="0"/>
            </w:tcBorders>
            <w:vAlign w:val="top"/>
          </w:tcPr>
          <w:p>
            <w:pPr>
              <w:widowControl/>
              <w:spacing w:before="0"/>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1</w:t>
            </w:r>
          </w:p>
        </w:tc>
        <w:tc>
          <w:tcPr>
            <w:tcW w:w="3297" w:type="dxa"/>
            <w:gridSpan w:val="2"/>
            <w:tcBorders>
              <w:top w:val="single" w:color="auto" w:sz="4" w:space="0"/>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体表肿物切除术</w:t>
            </w:r>
          </w:p>
        </w:tc>
        <w:tc>
          <w:tcPr>
            <w:tcW w:w="1199" w:type="dxa"/>
            <w:tcBorders>
              <w:top w:val="single" w:color="auto" w:sz="4" w:space="0"/>
              <w:left w:val="nil"/>
            </w:tcBorders>
            <w:vAlign w:val="top"/>
          </w:tcPr>
          <w:p>
            <w:pPr>
              <w:widowControl/>
              <w:spacing w:before="0"/>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3</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10" w:hRule="atLeast"/>
          <w:jc w:val="center"/>
        </w:trPr>
        <w:tc>
          <w:tcPr>
            <w:tcW w:w="3050" w:type="dxa"/>
            <w:gridSpan w:val="2"/>
            <w:tcBorders>
              <w:top w:val="nil"/>
              <w:bottom w:val="single" w:color="auto" w:sz="8"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多指切除术</w:t>
            </w:r>
          </w:p>
        </w:tc>
        <w:tc>
          <w:tcPr>
            <w:tcW w:w="1241" w:type="dxa"/>
            <w:tcBorders>
              <w:top w:val="nil"/>
              <w:left w:val="nil"/>
              <w:bottom w:val="single" w:color="auto" w:sz="8" w:space="0"/>
              <w:right w:val="double" w:color="auto" w:sz="4" w:space="0"/>
            </w:tcBorders>
            <w:vAlign w:val="top"/>
          </w:tcPr>
          <w:p>
            <w:pPr>
              <w:widowControl/>
              <w:spacing w:before="0"/>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2</w:t>
            </w:r>
          </w:p>
        </w:tc>
        <w:tc>
          <w:tcPr>
            <w:tcW w:w="3297" w:type="dxa"/>
            <w:gridSpan w:val="2"/>
            <w:tcBorders>
              <w:left w:val="double" w:color="auto" w:sz="4" w:space="0"/>
              <w:bottom w:val="single" w:color="auto" w:sz="8"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烧伤后瘢痕挛缩的简单整形术</w:t>
            </w:r>
          </w:p>
        </w:tc>
        <w:tc>
          <w:tcPr>
            <w:tcW w:w="1199" w:type="dxa"/>
            <w:tcBorders>
              <w:left w:val="nil"/>
              <w:bottom w:val="single" w:color="auto" w:sz="8" w:space="0"/>
            </w:tcBorders>
            <w:vAlign w:val="top"/>
          </w:tcPr>
          <w:p>
            <w:pPr>
              <w:widowControl/>
              <w:spacing w:before="0"/>
              <w:ind w:right="233" w:rightChars="111"/>
              <w:jc w:val="center"/>
              <w:rPr>
                <w:rFonts w:hint="eastAsia" w:ascii="仿宋_GB2312" w:hAnsi="宋体" w:eastAsia="仿宋_GB2312" w:cs="宋体"/>
                <w:color w:val="auto"/>
                <w:kern w:val="0"/>
                <w:sz w:val="21"/>
                <w:szCs w:val="21"/>
                <w:highlight w:val="none"/>
              </w:rPr>
            </w:pPr>
            <w:r>
              <w:rPr>
                <w:rFonts w:hint="eastAsia" w:ascii="仿宋_GB2312" w:hAnsi="宋体" w:eastAsia="仿宋_GB2312" w:cs="宋体"/>
                <w:color w:val="auto"/>
                <w:kern w:val="0"/>
                <w:sz w:val="21"/>
                <w:szCs w:val="21"/>
                <w:highlight w:val="none"/>
                <w:lang w:val="en-US" w:eastAsia="zh-CN"/>
              </w:rPr>
              <w:t>2</w:t>
            </w: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c.</w:t>
      </w:r>
      <w:r>
        <w:rPr>
          <w:rFonts w:hint="eastAsia" w:ascii="仿宋_GB2312" w:hAnsi="Helvetica" w:eastAsia="仿宋_GB2312" w:cs="Helvetica"/>
          <w:color w:val="auto"/>
          <w:kern w:val="0"/>
          <w:sz w:val="32"/>
          <w:szCs w:val="32"/>
          <w:highlight w:val="none"/>
        </w:rPr>
        <w:t>参加所管床位患儿烧伤整形外科手术。</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(10)</w:t>
      </w:r>
      <w:r>
        <w:rPr>
          <w:rFonts w:hint="eastAsia" w:ascii="仿宋_GB2312" w:hAnsi="Helvetica" w:eastAsia="仿宋_GB2312" w:cs="Helvetica"/>
          <w:b w:val="0"/>
          <w:bCs w:val="0"/>
          <w:color w:val="auto"/>
          <w:kern w:val="0"/>
          <w:sz w:val="32"/>
          <w:szCs w:val="32"/>
          <w:highlight w:val="none"/>
        </w:rPr>
        <w:t>麻醉科(</w:t>
      </w:r>
      <w:r>
        <w:rPr>
          <w:rFonts w:hint="eastAsia" w:ascii="仿宋_GB2312" w:hAnsi="Helvetica" w:eastAsia="仿宋_GB2312" w:cs="Helvetica"/>
          <w:b w:val="0"/>
          <w:bCs w:val="0"/>
          <w:color w:val="auto"/>
          <w:kern w:val="0"/>
          <w:sz w:val="32"/>
          <w:szCs w:val="32"/>
          <w:highlight w:val="none"/>
          <w:lang w:val="en-US" w:eastAsia="zh-CN"/>
        </w:rPr>
        <w:t>1</w:t>
      </w:r>
      <w:r>
        <w:rPr>
          <w:rFonts w:hint="eastAsia" w:ascii="仿宋_GB2312" w:hAnsi="Helvetica" w:eastAsia="仿宋_GB2312" w:cs="Helvetica"/>
          <w:b w:val="0"/>
          <w:bCs w:val="0"/>
          <w:color w:val="auto"/>
          <w:kern w:val="0"/>
          <w:sz w:val="32"/>
          <w:szCs w:val="32"/>
          <w:highlight w:val="none"/>
        </w:rPr>
        <w:t>个月)</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掌握：麻醉学科的基本理论、基本内容和工作任务;心电图,血压、脉搏、呼吸和体温的无创监测技术;心肺复苏术。</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熟悉：常用麻醉方法的实施、管理、适应证和术前准备;常用监测技术的临床 应用;血气分析、蛛网膜下腔穿刺和硬膜外腔穿刺技术;术中麻醉管理;麻醉与手术的配合技巧;麻醉药使用的剂量、不良反应和处理。</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了解：了解麻醉机的结构原理和使用方法及小儿外科常见手术的麻醉;常见麻醉后合并症的处理原则;呼吸机的使用。</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在上级医师指导下完成以下麻醉及临床相关操作技术</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见表20。</w:t>
      </w:r>
    </w:p>
    <w:p>
      <w:pPr>
        <w:widowControl/>
        <w:numPr>
          <w:ilvl w:val="0"/>
          <w:numId w:val="0"/>
        </w:numPr>
        <w:autoSpaceDE/>
        <w:autoSpaceDN/>
        <w:spacing w:line="240" w:lineRule="auto"/>
        <w:ind w:firstLine="0" w:firstLineChars="0"/>
        <w:jc w:val="center"/>
        <w:rPr>
          <w:rFonts w:hint="eastAsia" w:ascii="方正小标宋简体" w:hAnsi="宋体" w:eastAsia="方正小标宋简体" w:cs="宋体"/>
          <w:color w:val="auto"/>
          <w:kern w:val="0"/>
          <w:sz w:val="24"/>
          <w:szCs w:val="24"/>
          <w:highlight w:val="none"/>
          <w:lang w:val="en-US" w:eastAsia="zh-CN" w:bidi="ar"/>
        </w:rPr>
      </w:pPr>
    </w:p>
    <w:p>
      <w:pPr>
        <w:widowControl/>
        <w:numPr>
          <w:ilvl w:val="0"/>
          <w:numId w:val="0"/>
        </w:numPr>
        <w:autoSpaceDE/>
        <w:autoSpaceDN/>
        <w:spacing w:line="240" w:lineRule="auto"/>
        <w:ind w:firstLine="0" w:firstLineChars="0"/>
        <w:jc w:val="center"/>
        <w:rPr>
          <w:rFonts w:hint="default"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 xml:space="preserve">表20  手术或操作技术种类及例数要求 </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2865"/>
        <w:gridCol w:w="121"/>
        <w:gridCol w:w="1329"/>
        <w:gridCol w:w="2976"/>
        <w:gridCol w:w="149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5" w:hRule="atLeast"/>
          <w:jc w:val="center"/>
        </w:trPr>
        <w:tc>
          <w:tcPr>
            <w:tcW w:w="1699" w:type="pct"/>
            <w:gridSpan w:val="2"/>
            <w:tcBorders>
              <w:top w:val="single" w:color="auto" w:sz="8" w:space="0"/>
              <w:bottom w:val="single" w:color="auto" w:sz="4" w:space="0"/>
              <w:right w:val="nil"/>
            </w:tcBorders>
            <w:vAlign w:val="top"/>
          </w:tcPr>
          <w:p>
            <w:pPr>
              <w:widowControl/>
              <w:ind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手术或操作</w:t>
            </w:r>
            <w:r>
              <w:rPr>
                <w:rFonts w:hint="eastAsia" w:ascii="黑体" w:hAnsi="黑体" w:eastAsia="黑体" w:cs="黑体"/>
                <w:b/>
                <w:bCs/>
                <w:color w:val="auto"/>
                <w:kern w:val="2"/>
                <w:sz w:val="21"/>
                <w:szCs w:val="21"/>
                <w:highlight w:val="none"/>
                <w:lang w:val="en-US" w:eastAsia="zh-CN"/>
              </w:rPr>
              <w:t>名</w:t>
            </w:r>
            <w:r>
              <w:rPr>
                <w:rFonts w:hint="eastAsia" w:ascii="黑体" w:hAnsi="黑体" w:eastAsia="黑体" w:cs="黑体"/>
                <w:b/>
                <w:bCs/>
                <w:color w:val="auto"/>
                <w:kern w:val="2"/>
                <w:sz w:val="21"/>
                <w:szCs w:val="21"/>
                <w:highlight w:val="none"/>
                <w:lang w:eastAsia="zh-CN"/>
              </w:rPr>
              <w:t>称</w:t>
            </w:r>
          </w:p>
        </w:tc>
        <w:tc>
          <w:tcPr>
            <w:tcW w:w="756" w:type="pct"/>
            <w:tcBorders>
              <w:top w:val="single" w:color="auto" w:sz="8" w:space="0"/>
              <w:left w:val="nil"/>
              <w:bottom w:val="single" w:color="auto" w:sz="4" w:space="0"/>
              <w:right w:val="double" w:color="auto" w:sz="4" w:space="0"/>
            </w:tcBorders>
            <w:vAlign w:val="top"/>
          </w:tcPr>
          <w:p>
            <w:pPr>
              <w:widowControl/>
              <w:ind w:firstLine="0" w:firstLineChars="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c>
          <w:tcPr>
            <w:tcW w:w="1693" w:type="pct"/>
            <w:tcBorders>
              <w:top w:val="single" w:color="auto" w:sz="8" w:space="0"/>
              <w:left w:val="double" w:color="auto" w:sz="4" w:space="0"/>
              <w:bottom w:val="single" w:color="auto" w:sz="4" w:space="0"/>
              <w:right w:val="nil"/>
            </w:tcBorders>
            <w:vAlign w:val="top"/>
          </w:tcPr>
          <w:p>
            <w:pPr>
              <w:widowControl/>
              <w:ind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手术或操作</w:t>
            </w:r>
            <w:r>
              <w:rPr>
                <w:rFonts w:hint="eastAsia" w:ascii="黑体" w:hAnsi="黑体" w:eastAsia="黑体" w:cs="黑体"/>
                <w:b/>
                <w:bCs/>
                <w:color w:val="auto"/>
                <w:kern w:val="2"/>
                <w:sz w:val="21"/>
                <w:szCs w:val="21"/>
                <w:highlight w:val="none"/>
                <w:lang w:val="en-US" w:eastAsia="zh-CN"/>
              </w:rPr>
              <w:t>名</w:t>
            </w:r>
            <w:r>
              <w:rPr>
                <w:rFonts w:hint="eastAsia" w:ascii="黑体" w:hAnsi="黑体" w:eastAsia="黑体" w:cs="黑体"/>
                <w:b/>
                <w:bCs/>
                <w:color w:val="auto"/>
                <w:kern w:val="2"/>
                <w:sz w:val="21"/>
                <w:szCs w:val="21"/>
                <w:highlight w:val="none"/>
                <w:lang w:eastAsia="zh-CN"/>
              </w:rPr>
              <w:t>称</w:t>
            </w:r>
          </w:p>
        </w:tc>
        <w:tc>
          <w:tcPr>
            <w:tcW w:w="851" w:type="pct"/>
            <w:tcBorders>
              <w:top w:val="single" w:color="auto" w:sz="8" w:space="0"/>
              <w:left w:val="nil"/>
              <w:bottom w:val="single" w:color="auto" w:sz="4" w:space="0"/>
            </w:tcBorders>
            <w:vAlign w:val="top"/>
          </w:tcPr>
          <w:p>
            <w:pPr>
              <w:widowControl/>
              <w:ind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18" w:hRule="atLeast"/>
          <w:jc w:val="center"/>
        </w:trPr>
        <w:tc>
          <w:tcPr>
            <w:tcW w:w="1630" w:type="pct"/>
            <w:tcBorders>
              <w:top w:val="single" w:color="auto" w:sz="4" w:space="0"/>
              <w:bottom w:val="nil"/>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喉罩</w:t>
            </w:r>
          </w:p>
        </w:tc>
        <w:tc>
          <w:tcPr>
            <w:tcW w:w="824" w:type="pct"/>
            <w:gridSpan w:val="2"/>
            <w:tcBorders>
              <w:top w:val="single" w:color="auto" w:sz="4" w:space="0"/>
              <w:left w:val="nil"/>
              <w:bottom w:val="nil"/>
              <w:right w:val="double" w:color="auto" w:sz="4" w:space="0"/>
            </w:tcBorders>
            <w:vAlign w:val="top"/>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1693" w:type="pct"/>
            <w:tcBorders>
              <w:top w:val="single" w:color="auto" w:sz="4" w:space="0"/>
              <w:left w:val="double" w:color="auto" w:sz="4"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气管插管全麻</w:t>
            </w:r>
          </w:p>
        </w:tc>
        <w:tc>
          <w:tcPr>
            <w:tcW w:w="851" w:type="pct"/>
            <w:tcBorders>
              <w:top w:val="single" w:color="auto" w:sz="4" w:space="0"/>
              <w:left w:val="nil"/>
            </w:tcBorders>
            <w:vAlign w:val="top"/>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5</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67" w:hRule="atLeast"/>
          <w:jc w:val="center"/>
        </w:trPr>
        <w:tc>
          <w:tcPr>
            <w:tcW w:w="1630" w:type="pct"/>
            <w:tcBorders>
              <w:top w:val="nil"/>
              <w:bottom w:val="single" w:color="auto" w:sz="8"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椎管内麻醉</w:t>
            </w:r>
          </w:p>
        </w:tc>
        <w:tc>
          <w:tcPr>
            <w:tcW w:w="824" w:type="pct"/>
            <w:gridSpan w:val="2"/>
            <w:tcBorders>
              <w:top w:val="nil"/>
              <w:left w:val="nil"/>
              <w:bottom w:val="single" w:color="auto" w:sz="8" w:space="0"/>
              <w:right w:val="double" w:color="auto" w:sz="4" w:space="0"/>
            </w:tcBorders>
            <w:vAlign w:val="top"/>
          </w:tcPr>
          <w:p>
            <w:pPr>
              <w:widowControl/>
              <w:spacing w:before="0"/>
              <w:ind w:right="233" w:rightChars="111"/>
              <w:jc w:val="center"/>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2</w:t>
            </w:r>
          </w:p>
        </w:tc>
        <w:tc>
          <w:tcPr>
            <w:tcW w:w="1693" w:type="pct"/>
            <w:tcBorders>
              <w:left w:val="double" w:color="auto" w:sz="4" w:space="0"/>
              <w:bottom w:val="single" w:color="auto" w:sz="8" w:space="0"/>
              <w:right w:val="nil"/>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 xml:space="preserve">面罩给氧、机械通气 </w:t>
            </w:r>
          </w:p>
        </w:tc>
        <w:tc>
          <w:tcPr>
            <w:tcW w:w="851" w:type="pct"/>
            <w:tcBorders>
              <w:left w:val="nil"/>
              <w:bottom w:val="single" w:color="auto" w:sz="8" w:space="0"/>
            </w:tcBorders>
            <w:vAlign w:val="top"/>
          </w:tcPr>
          <w:p>
            <w:pPr>
              <w:widowControl/>
              <w:spacing w:before="0"/>
              <w:ind w:right="233" w:rightChars="111"/>
              <w:jc w:val="center"/>
              <w:rPr>
                <w:rFonts w:hint="eastAsia" w:ascii="仿宋_GB2312" w:hAnsi="宋体" w:eastAsia="仿宋_GB2312" w:cs="宋体"/>
                <w:color w:val="auto"/>
                <w:kern w:val="0"/>
                <w:sz w:val="21"/>
                <w:szCs w:val="21"/>
                <w:highlight w:val="none"/>
                <w:lang w:val="en-US" w:eastAsia="zh-CN"/>
              </w:rPr>
            </w:pPr>
            <w:r>
              <w:rPr>
                <w:rFonts w:hint="eastAsia" w:ascii="仿宋_GB2312" w:hAnsi="宋体" w:eastAsia="仿宋_GB2312" w:cs="宋体"/>
                <w:color w:val="auto"/>
                <w:kern w:val="0"/>
                <w:sz w:val="21"/>
                <w:szCs w:val="21"/>
                <w:highlight w:val="none"/>
                <w:lang w:val="en-US" w:eastAsia="zh-CN"/>
              </w:rPr>
              <w:t>10</w:t>
            </w: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rPr>
      </w:pP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(11)重症医学</w:t>
      </w:r>
      <w:r>
        <w:rPr>
          <w:rFonts w:hint="eastAsia" w:ascii="仿宋_GB2312" w:hAnsi="Helvetica" w:eastAsia="仿宋_GB2312" w:cs="Helvetica"/>
          <w:b w:val="0"/>
          <w:bCs w:val="0"/>
          <w:color w:val="auto"/>
          <w:kern w:val="0"/>
          <w:sz w:val="32"/>
          <w:szCs w:val="32"/>
          <w:highlight w:val="none"/>
        </w:rPr>
        <w:t>科(</w:t>
      </w:r>
      <w:r>
        <w:rPr>
          <w:rFonts w:hint="eastAsia" w:ascii="仿宋_GB2312" w:hAnsi="Helvetica" w:eastAsia="仿宋_GB2312" w:cs="Helvetica"/>
          <w:b w:val="0"/>
          <w:bCs w:val="0"/>
          <w:color w:val="auto"/>
          <w:kern w:val="0"/>
          <w:sz w:val="32"/>
          <w:szCs w:val="32"/>
          <w:highlight w:val="none"/>
          <w:lang w:val="en-US" w:eastAsia="zh-CN"/>
        </w:rPr>
        <w:t>1</w:t>
      </w:r>
      <w:r>
        <w:rPr>
          <w:rFonts w:hint="eastAsia" w:ascii="仿宋_GB2312" w:hAnsi="Helvetica" w:eastAsia="仿宋_GB2312" w:cs="Helvetica"/>
          <w:b w:val="0"/>
          <w:bCs w:val="0"/>
          <w:color w:val="auto"/>
          <w:kern w:val="0"/>
          <w:sz w:val="32"/>
          <w:szCs w:val="32"/>
          <w:highlight w:val="none"/>
        </w:rPr>
        <w:t>个月)</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掌握：呼吸治疗(包括氧治疗、拍背吸痰等物理治疗措施及机械通气等)和循环支持治疗的适应证、基本方法,以及常用药物的应用;人工呼吸、胸外心脏按压、电除颤等常用临床复苏技术。</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熟悉：危重病人术后生理功能改变,包括呼吸、循环、肝肾功能、水电解质平衡变化及全身应激反应;急危重症病人的抢救治疗全过程、监护与管理及营养支持; 常用监测技术的操作技术。</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了解：常用监测技术的适应证、操作技能及临床应用;呼吸机的操作和使用。</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autoSpaceDN/>
        <w:adjustRightInd/>
        <w:snapToGrid/>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rPr>
        <w:t>在上级医师指导下参与以下管理重症病人及机械通气治疗</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表21。</w:t>
      </w:r>
    </w:p>
    <w:p>
      <w:pPr>
        <w:widowControl/>
        <w:autoSpaceDE/>
        <w:autoSpaceDN/>
        <w:adjustRightInd/>
        <w:snapToGrid/>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rPr>
      </w:pPr>
    </w:p>
    <w:p>
      <w:pPr>
        <w:widowControl/>
        <w:numPr>
          <w:ilvl w:val="0"/>
          <w:numId w:val="0"/>
        </w:numPr>
        <w:autoSpaceDE/>
        <w:autoSpaceDN/>
        <w:adjustRightInd/>
        <w:snapToGrid/>
        <w:spacing w:line="240" w:lineRule="auto"/>
        <w:ind w:firstLine="0" w:firstLineChars="0"/>
        <w:jc w:val="center"/>
        <w:rPr>
          <w:rFonts w:hint="default" w:ascii="方正小标宋简体" w:hAnsi="宋体" w:eastAsia="方正小标宋简体" w:cs="宋体"/>
          <w:color w:val="auto"/>
          <w:kern w:val="0"/>
          <w:sz w:val="24"/>
          <w:szCs w:val="24"/>
          <w:highlight w:val="none"/>
          <w:lang w:bidi="ar"/>
        </w:rPr>
      </w:pPr>
      <w:r>
        <w:rPr>
          <w:rFonts w:hint="eastAsia" w:ascii="方正小标宋简体" w:hAnsi="宋体" w:eastAsia="方正小标宋简体" w:cs="宋体"/>
          <w:color w:val="auto"/>
          <w:kern w:val="0"/>
          <w:sz w:val="24"/>
          <w:szCs w:val="24"/>
          <w:highlight w:val="none"/>
          <w:lang w:val="en-US" w:eastAsia="zh-CN" w:bidi="ar"/>
        </w:rPr>
        <w:t>表21  参与管理要求</w:t>
      </w:r>
    </w:p>
    <w:tbl>
      <w:tblPr>
        <w:tblStyle w:val="11"/>
        <w:tblW w:w="8787"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6451"/>
        <w:gridCol w:w="233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30" w:hRule="atLeast"/>
          <w:jc w:val="center"/>
        </w:trPr>
        <w:tc>
          <w:tcPr>
            <w:tcW w:w="6317" w:type="dxa"/>
            <w:tcBorders>
              <w:top w:val="single" w:color="auto" w:sz="8" w:space="0"/>
              <w:bottom w:val="single" w:color="auto" w:sz="4" w:space="0"/>
              <w:right w:val="double" w:color="auto" w:sz="4" w:space="0"/>
            </w:tcBorders>
            <w:vAlign w:val="top"/>
          </w:tcPr>
          <w:p>
            <w:pPr>
              <w:widowControl/>
              <w:ind w:firstLine="422" w:firstLineChars="200"/>
              <w:jc w:val="left"/>
              <w:rPr>
                <w:rFonts w:hint="eastAsia" w:ascii="黑体" w:hAnsi="黑体" w:eastAsia="黑体" w:cs="黑体"/>
                <w:b/>
                <w:bCs/>
                <w:color w:val="auto"/>
                <w:kern w:val="2"/>
                <w:sz w:val="21"/>
                <w:szCs w:val="21"/>
                <w:highlight w:val="none"/>
                <w:lang w:eastAsia="zh-CN"/>
              </w:rPr>
            </w:pPr>
            <w:r>
              <w:rPr>
                <w:rFonts w:hint="eastAsia" w:ascii="黑体" w:hAnsi="黑体" w:eastAsia="黑体" w:cs="黑体"/>
                <w:b/>
                <w:bCs/>
                <w:color w:val="auto"/>
                <w:kern w:val="2"/>
                <w:sz w:val="21"/>
                <w:szCs w:val="21"/>
                <w:highlight w:val="none"/>
                <w:lang w:val="en-US" w:eastAsia="zh-CN"/>
              </w:rPr>
              <w:t>名称</w:t>
            </w:r>
          </w:p>
        </w:tc>
        <w:tc>
          <w:tcPr>
            <w:tcW w:w="2287" w:type="dxa"/>
            <w:tcBorders>
              <w:top w:val="single" w:color="auto" w:sz="8" w:space="0"/>
              <w:left w:val="double" w:color="auto" w:sz="4" w:space="0"/>
              <w:bottom w:val="single" w:color="auto" w:sz="4" w:space="0"/>
              <w:right w:val="nil"/>
            </w:tcBorders>
            <w:vAlign w:val="top"/>
          </w:tcPr>
          <w:p>
            <w:pPr>
              <w:widowControl/>
              <w:ind w:firstLine="422" w:firstLineChars="200"/>
              <w:jc w:val="left"/>
              <w:rPr>
                <w:rFonts w:hint="eastAsia" w:ascii="黑体" w:hAnsi="黑体" w:eastAsia="黑体" w:cs="黑体"/>
                <w:b/>
                <w:bCs/>
                <w:color w:val="auto"/>
                <w:kern w:val="2"/>
                <w:sz w:val="21"/>
                <w:szCs w:val="21"/>
                <w:highlight w:val="none"/>
              </w:rPr>
            </w:pPr>
            <w:r>
              <w:rPr>
                <w:rFonts w:hint="eastAsia" w:ascii="黑体" w:hAnsi="黑体" w:eastAsia="黑体" w:cs="黑体"/>
                <w:b/>
                <w:bCs/>
                <w:color w:val="auto"/>
                <w:kern w:val="2"/>
                <w:sz w:val="21"/>
                <w:szCs w:val="21"/>
                <w:highlight w:val="none"/>
                <w:lang w:eastAsia="zh-CN"/>
              </w:rPr>
              <w:t>最低例数</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6317" w:type="dxa"/>
            <w:tcBorders>
              <w:top w:val="single" w:color="auto" w:sz="4" w:space="0"/>
              <w:bottom w:val="nil"/>
              <w:right w:val="double" w:color="auto" w:sz="4" w:space="0"/>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重症病人</w:t>
            </w:r>
          </w:p>
        </w:tc>
        <w:tc>
          <w:tcPr>
            <w:tcW w:w="2287" w:type="dxa"/>
            <w:tcBorders>
              <w:top w:val="single" w:color="auto" w:sz="4" w:space="0"/>
              <w:left w:val="double" w:color="auto" w:sz="4" w:space="0"/>
              <w:bottom w:val="nil"/>
              <w:right w:val="nil"/>
            </w:tcBorders>
            <w:vAlign w:val="top"/>
          </w:tcPr>
          <w:p>
            <w:pPr>
              <w:widowControl/>
              <w:ind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96" w:hRule="atLeast"/>
          <w:jc w:val="center"/>
        </w:trPr>
        <w:tc>
          <w:tcPr>
            <w:tcW w:w="6317" w:type="dxa"/>
            <w:tcBorders>
              <w:top w:val="nil"/>
              <w:bottom w:val="single" w:color="auto" w:sz="8" w:space="0"/>
              <w:right w:val="double" w:color="auto" w:sz="4" w:space="0"/>
            </w:tcBorders>
            <w:vAlign w:val="top"/>
          </w:tcPr>
          <w:p>
            <w:pPr>
              <w:widowControl/>
              <w:spacing w:before="0" w:line="240" w:lineRule="auto"/>
              <w:ind w:left="0"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eastAsia="zh-CN"/>
              </w:rPr>
              <w:t>机械通气治疗</w:t>
            </w:r>
          </w:p>
        </w:tc>
        <w:tc>
          <w:tcPr>
            <w:tcW w:w="2287" w:type="dxa"/>
            <w:tcBorders>
              <w:top w:val="nil"/>
              <w:left w:val="double" w:color="auto" w:sz="4" w:space="0"/>
              <w:bottom w:val="single" w:color="auto" w:sz="8" w:space="0"/>
              <w:right w:val="nil"/>
            </w:tcBorders>
            <w:vAlign w:val="top"/>
          </w:tcPr>
          <w:p>
            <w:pPr>
              <w:widowControl/>
              <w:ind w:right="233" w:rightChars="111"/>
              <w:jc w:val="both"/>
              <w:rPr>
                <w:rFonts w:hint="eastAsia" w:ascii="仿宋_GB2312" w:hAnsi="宋体" w:eastAsia="仿宋_GB2312" w:cs="宋体"/>
                <w:color w:val="auto"/>
                <w:kern w:val="0"/>
                <w:sz w:val="21"/>
                <w:szCs w:val="21"/>
                <w:highlight w:val="none"/>
                <w:lang w:eastAsia="zh-CN"/>
              </w:rPr>
            </w:pPr>
            <w:r>
              <w:rPr>
                <w:rFonts w:hint="eastAsia" w:ascii="仿宋_GB2312" w:hAnsi="宋体" w:eastAsia="仿宋_GB2312" w:cs="宋体"/>
                <w:color w:val="auto"/>
                <w:kern w:val="0"/>
                <w:sz w:val="21"/>
                <w:szCs w:val="21"/>
                <w:highlight w:val="none"/>
                <w:lang w:val="en-US" w:eastAsia="zh-CN"/>
              </w:rPr>
              <w:t>3</w:t>
            </w:r>
          </w:p>
        </w:tc>
      </w:tr>
    </w:tbl>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(12)影像</w:t>
      </w:r>
      <w:r>
        <w:rPr>
          <w:rFonts w:hint="eastAsia" w:ascii="仿宋_GB2312" w:hAnsi="Helvetica" w:eastAsia="仿宋_GB2312" w:cs="Helvetica"/>
          <w:b w:val="0"/>
          <w:bCs w:val="0"/>
          <w:color w:val="auto"/>
          <w:kern w:val="0"/>
          <w:sz w:val="32"/>
          <w:szCs w:val="32"/>
          <w:highlight w:val="none"/>
        </w:rPr>
        <w:t>科(</w:t>
      </w:r>
      <w:r>
        <w:rPr>
          <w:rFonts w:hint="eastAsia" w:ascii="仿宋_GB2312" w:hAnsi="Helvetica" w:eastAsia="仿宋_GB2312" w:cs="Helvetica"/>
          <w:b w:val="0"/>
          <w:bCs w:val="0"/>
          <w:color w:val="auto"/>
          <w:kern w:val="0"/>
          <w:sz w:val="32"/>
          <w:szCs w:val="32"/>
          <w:highlight w:val="none"/>
          <w:lang w:val="en-US" w:eastAsia="zh-CN"/>
        </w:rPr>
        <w:t>1</w:t>
      </w:r>
      <w:r>
        <w:rPr>
          <w:rFonts w:hint="eastAsia" w:ascii="仿宋_GB2312" w:hAnsi="Helvetica" w:eastAsia="仿宋_GB2312" w:cs="Helvetica"/>
          <w:b w:val="0"/>
          <w:bCs w:val="0"/>
          <w:color w:val="auto"/>
          <w:kern w:val="0"/>
          <w:sz w:val="32"/>
          <w:szCs w:val="32"/>
          <w:highlight w:val="none"/>
        </w:rPr>
        <w:t>个月)</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掌握：人体各年龄段、各系统的正常X线、CT、MR 解剖学特点及其报告的书写规范;常见病造影的适应证、造影方法,能对常见急腹症及外伤进行诊断;放射防护规则和要求;腹部超声检查的适应证和腹部超声解剖学。</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熟悉：小儿外科常用X线、CT、MR机的原理和应用;对病人各部位投照的放射防护常规和操作;小儿外科常见病的腹部超声表现、诊断及鉴别诊断。</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了解：X线、CT、MR 投照技术及数字化处理技术;超声原理、仪器的特点,基本操作和腹部超声诊断的知识。</w:t>
      </w:r>
    </w:p>
    <w:p>
      <w:pPr>
        <w:widowControl/>
        <w:numPr>
          <w:ilvl w:val="-1"/>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numPr>
          <w:ilvl w:val="-1"/>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完成超声引导下穿刺3例。</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(13)病理</w:t>
      </w:r>
      <w:r>
        <w:rPr>
          <w:rFonts w:hint="eastAsia" w:ascii="仿宋_GB2312" w:hAnsi="Helvetica" w:eastAsia="仿宋_GB2312" w:cs="Helvetica"/>
          <w:b w:val="0"/>
          <w:bCs w:val="0"/>
          <w:color w:val="auto"/>
          <w:kern w:val="0"/>
          <w:sz w:val="32"/>
          <w:szCs w:val="32"/>
          <w:highlight w:val="none"/>
        </w:rPr>
        <w:t>科(１个月)</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1)</w:t>
      </w:r>
      <w:r>
        <w:rPr>
          <w:rFonts w:hint="eastAsia" w:ascii="仿宋_GB2312" w:hAnsi="Helvetica" w:eastAsia="仿宋_GB2312" w:cs="Helvetica"/>
          <w:color w:val="auto"/>
          <w:kern w:val="0"/>
          <w:sz w:val="32"/>
          <w:szCs w:val="32"/>
          <w:highlight w:val="none"/>
        </w:rPr>
        <w:t>轮转目的</w:t>
      </w:r>
    </w:p>
    <w:p>
      <w:pPr>
        <w:widowControl/>
        <w:numPr>
          <w:ilvl w:val="-1"/>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掌握：病理标本取材,常规染色和特殊染色,免疫组化,阅片。</w:t>
      </w:r>
    </w:p>
    <w:p>
      <w:pPr>
        <w:widowControl/>
        <w:numPr>
          <w:ilvl w:val="-1"/>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熟悉：小儿外科常见病的病理特点和诊断。</w:t>
      </w:r>
    </w:p>
    <w:p>
      <w:pPr>
        <w:widowControl/>
        <w:numPr>
          <w:ilvl w:val="-1"/>
          <w:numId w:val="0"/>
        </w:numPr>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了解：电镜和PCR知识。</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rPr>
        <w:t>2)</w:t>
      </w:r>
      <w:r>
        <w:rPr>
          <w:rFonts w:hint="eastAsia" w:ascii="仿宋_GB2312" w:hAnsi="Helvetica" w:eastAsia="仿宋_GB2312" w:cs="Helvetica"/>
          <w:color w:val="auto"/>
          <w:kern w:val="0"/>
          <w:sz w:val="32"/>
          <w:szCs w:val="32"/>
          <w:highlight w:val="none"/>
        </w:rPr>
        <w:t>基本要求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position w:val="0"/>
          <w:sz w:val="32"/>
          <w:szCs w:val="32"/>
          <w:highlight w:val="none"/>
        </w:rPr>
      </w:pPr>
      <w:r>
        <w:rPr>
          <w:rFonts w:hint="eastAsia" w:ascii="仿宋_GB2312" w:hAnsi="Helvetica" w:eastAsia="仿宋_GB2312" w:cs="Helvetica"/>
          <w:color w:val="auto"/>
          <w:kern w:val="0"/>
          <w:sz w:val="32"/>
          <w:szCs w:val="32"/>
          <w:highlight w:val="none"/>
        </w:rPr>
        <w:t>标本取材和阅片。</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rPr>
      </w:pPr>
      <w:r>
        <w:rPr>
          <w:rFonts w:hint="eastAsia" w:ascii="仿宋_GB2312" w:hAnsi="Helvetica" w:eastAsia="仿宋_GB2312" w:cs="Helvetica"/>
          <w:b w:val="0"/>
          <w:bCs w:val="0"/>
          <w:color w:val="auto"/>
          <w:kern w:val="0"/>
          <w:sz w:val="32"/>
          <w:szCs w:val="32"/>
          <w:highlight w:val="none"/>
          <w:lang w:val="en-US" w:eastAsia="zh-CN"/>
        </w:rPr>
        <w:t>(14)</w:t>
      </w:r>
      <w:r>
        <w:rPr>
          <w:rFonts w:hint="eastAsia" w:ascii="仿宋_GB2312" w:hAnsi="Helvetica" w:eastAsia="仿宋_GB2312" w:cs="Helvetica"/>
          <w:b w:val="0"/>
          <w:bCs w:val="0"/>
          <w:color w:val="auto"/>
          <w:kern w:val="0"/>
          <w:sz w:val="32"/>
          <w:szCs w:val="32"/>
          <w:highlight w:val="none"/>
          <w:lang w:val="en-US" w:eastAsia="zh-CN" w:bidi="ar-SA"/>
        </w:rPr>
        <w:t>外语、教学与科研要求</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3年培训期间应参加一定的临床教学工作;阅读国外文献,写出有一定水平的文献综述、读书报告或临床论文1篇。</w:t>
      </w:r>
    </w:p>
    <w:p>
      <w:pPr>
        <w:widowControl/>
        <w:autoSpaceDE w:val="0"/>
        <w:autoSpaceDN w:val="0"/>
        <w:adjustRightInd w:val="0"/>
        <w:snapToGrid w:val="0"/>
        <w:spacing w:line="560" w:lineRule="exact"/>
        <w:ind w:firstLine="640" w:firstLineChars="200"/>
        <w:jc w:val="both"/>
        <w:rPr>
          <w:rFonts w:hint="eastAsia" w:ascii="仿宋_GB2312" w:hAnsi="Helvetica" w:eastAsia="仿宋_GB2312" w:cs="Helvetica"/>
          <w:b w:val="0"/>
          <w:bCs w:val="0"/>
          <w:color w:val="auto"/>
          <w:kern w:val="0"/>
          <w:sz w:val="32"/>
          <w:szCs w:val="32"/>
          <w:highlight w:val="none"/>
          <w:lang w:val="en-US" w:eastAsia="zh-CN" w:bidi="ar-SA"/>
        </w:rPr>
      </w:pPr>
      <w:r>
        <w:rPr>
          <w:rFonts w:hint="eastAsia" w:ascii="仿宋_GB2312" w:hAnsi="Helvetica" w:eastAsia="仿宋_GB2312" w:cs="Helvetica"/>
          <w:b w:val="0"/>
          <w:bCs w:val="0"/>
          <w:color w:val="auto"/>
          <w:kern w:val="0"/>
          <w:sz w:val="32"/>
          <w:szCs w:val="32"/>
          <w:highlight w:val="none"/>
          <w:lang w:val="en-US" w:eastAsia="zh-CN" w:bidi="ar-SA"/>
        </w:rPr>
        <w:t>三、临床能力考核。儿外科学硕士专业学位研究生的临床训练及考核与住院医师规范化培训全面并轨。临床训练的时间、形式、内容、考核及质量标准等严格按照住院医师规范化培训的要求执行。</w:t>
      </w:r>
    </w:p>
    <w:p>
      <w:pPr>
        <w:snapToGrid w:val="0"/>
        <w:spacing w:line="560" w:lineRule="exact"/>
        <w:ind w:left="0" w:firstLine="640" w:firstLineChars="200"/>
        <w:jc w:val="both"/>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第</w:t>
      </w:r>
      <w:r>
        <w:rPr>
          <w:rFonts w:hint="eastAsia" w:ascii="黑体" w:hAnsi="宋体" w:eastAsia="黑体"/>
          <w:bCs/>
          <w:color w:val="auto"/>
          <w:sz w:val="32"/>
          <w:szCs w:val="32"/>
          <w:highlight w:val="none"/>
          <w:lang w:val="en-US" w:eastAsia="zh-CN"/>
        </w:rPr>
        <w:t>六</w:t>
      </w:r>
      <w:r>
        <w:rPr>
          <w:rFonts w:hint="eastAsia" w:ascii="黑体" w:hAnsi="宋体" w:eastAsia="黑体"/>
          <w:bCs/>
          <w:color w:val="auto"/>
          <w:sz w:val="32"/>
          <w:szCs w:val="32"/>
          <w:highlight w:val="none"/>
        </w:rPr>
        <w:t>条 科研与教学培训</w:t>
      </w:r>
    </w:p>
    <w:p>
      <w:pPr>
        <w:autoSpaceDE w:val="0"/>
        <w:autoSpaceDN w:val="0"/>
        <w:adjustRightInd w:val="0"/>
        <w:snapToGrid w:val="0"/>
        <w:spacing w:line="560" w:lineRule="exact"/>
        <w:ind w:left="0"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b w:val="0"/>
          <w:bCs w:val="0"/>
          <w:color w:val="auto"/>
          <w:kern w:val="0"/>
          <w:sz w:val="32"/>
          <w:szCs w:val="32"/>
          <w:highlight w:val="none"/>
        </w:rPr>
        <w:t>一、临床科研能力训练。</w:t>
      </w:r>
      <w:r>
        <w:rPr>
          <w:rFonts w:hint="eastAsia" w:ascii="仿宋_GB2312" w:hAnsi="Helvetica" w:eastAsia="仿宋_GB2312" w:cs="Helvetica"/>
          <w:color w:val="auto"/>
          <w:kern w:val="0"/>
          <w:sz w:val="32"/>
          <w:szCs w:val="32"/>
          <w:highlight w:val="none"/>
        </w:rPr>
        <w:t>研究生应掌握文献检索、资料收集、病例观察、医学统计、循证医学等科学研究方法。能够熟练地搜集和处理资料，在临床实践中发现问题，科学分析和总结，研究解决问题，探索有价值的临床现象和规律。</w:t>
      </w:r>
    </w:p>
    <w:p>
      <w:pPr>
        <w:autoSpaceDE w:val="0"/>
        <w:autoSpaceDN w:val="0"/>
        <w:adjustRightInd w:val="0"/>
        <w:snapToGrid w:val="0"/>
        <w:spacing w:line="560" w:lineRule="exact"/>
        <w:ind w:left="0" w:firstLine="640" w:firstLineChars="200"/>
        <w:jc w:val="both"/>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b w:val="0"/>
          <w:bCs w:val="0"/>
          <w:color w:val="auto"/>
          <w:kern w:val="0"/>
          <w:sz w:val="32"/>
          <w:szCs w:val="32"/>
          <w:highlight w:val="none"/>
        </w:rPr>
        <w:t>二、教学实践。</w:t>
      </w:r>
      <w:r>
        <w:rPr>
          <w:rFonts w:hint="eastAsia" w:ascii="仿宋_GB2312" w:hAnsi="Helvetica" w:eastAsia="仿宋_GB2312" w:cs="Helvetica"/>
          <w:color w:val="auto"/>
          <w:kern w:val="0"/>
          <w:sz w:val="32"/>
          <w:szCs w:val="32"/>
          <w:highlight w:val="none"/>
        </w:rPr>
        <w:t>研究生应参加教学查房、病例讨论会、专题讲座、小讲课等教学工作；</w:t>
      </w:r>
      <w:r>
        <w:rPr>
          <w:rFonts w:hint="eastAsia" w:ascii="仿宋_GB2312" w:hAnsi="Helvetica" w:eastAsia="仿宋_GB2312" w:cs="Helvetica"/>
          <w:color w:val="auto"/>
          <w:kern w:val="0"/>
          <w:sz w:val="32"/>
          <w:szCs w:val="32"/>
          <w:highlight w:val="none"/>
          <w:lang w:val="en-US" w:eastAsia="zh-CN"/>
        </w:rPr>
        <w:t>能够</w:t>
      </w:r>
      <w:r>
        <w:rPr>
          <w:rFonts w:hint="eastAsia" w:ascii="仿宋_GB2312" w:hAnsi="Helvetica" w:eastAsia="仿宋_GB2312" w:cs="Helvetica"/>
          <w:color w:val="auto"/>
          <w:kern w:val="0"/>
          <w:sz w:val="32"/>
          <w:szCs w:val="32"/>
          <w:highlight w:val="none"/>
        </w:rPr>
        <w:t>参与见习/实习医生的</w:t>
      </w:r>
      <w:r>
        <w:rPr>
          <w:rFonts w:hint="eastAsia" w:ascii="仿宋_GB2312" w:hAnsi="Helvetica" w:eastAsia="仿宋_GB2312" w:cs="Helvetica"/>
          <w:color w:val="auto"/>
          <w:kern w:val="0"/>
          <w:sz w:val="32"/>
          <w:szCs w:val="32"/>
          <w:highlight w:val="none"/>
          <w:lang w:val="en-US" w:eastAsia="zh-CN"/>
        </w:rPr>
        <w:t>低年资住院医师的</w:t>
      </w:r>
      <w:r>
        <w:rPr>
          <w:rFonts w:hint="eastAsia" w:ascii="仿宋_GB2312" w:hAnsi="Helvetica" w:eastAsia="仿宋_GB2312" w:cs="Helvetica"/>
          <w:color w:val="auto"/>
          <w:kern w:val="0"/>
          <w:sz w:val="32"/>
          <w:szCs w:val="32"/>
          <w:highlight w:val="none"/>
        </w:rPr>
        <w:t>临床带教工作。临床教学累计工作时间应不少于 32 学时。</w:t>
      </w:r>
    </w:p>
    <w:p>
      <w:pPr>
        <w:adjustRightInd w:val="0"/>
        <w:snapToGrid w:val="0"/>
        <w:spacing w:line="560" w:lineRule="exact"/>
        <w:ind w:left="0" w:firstLine="640" w:firstLineChars="200"/>
        <w:jc w:val="both"/>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第</w:t>
      </w:r>
      <w:r>
        <w:rPr>
          <w:rFonts w:hint="eastAsia" w:ascii="黑体" w:hAnsi="宋体" w:eastAsia="黑体"/>
          <w:bCs/>
          <w:color w:val="auto"/>
          <w:sz w:val="32"/>
          <w:szCs w:val="32"/>
          <w:highlight w:val="none"/>
          <w:lang w:val="en-US" w:eastAsia="zh-CN"/>
        </w:rPr>
        <w:t>七</w:t>
      </w:r>
      <w:r>
        <w:rPr>
          <w:rFonts w:hint="eastAsia" w:ascii="黑体" w:hAnsi="宋体" w:eastAsia="黑体"/>
          <w:bCs/>
          <w:color w:val="auto"/>
          <w:sz w:val="32"/>
          <w:szCs w:val="32"/>
          <w:highlight w:val="none"/>
        </w:rPr>
        <w:t>条 学位论文与答辩</w:t>
      </w:r>
    </w:p>
    <w:p>
      <w:pPr>
        <w:autoSpaceDE w:val="0"/>
        <w:autoSpaceDN w:val="0"/>
        <w:adjustRightInd w:val="0"/>
        <w:snapToGrid w:val="0"/>
        <w:spacing w:line="560" w:lineRule="exact"/>
        <w:ind w:firstLine="640" w:firstLineChars="200"/>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lang w:val="en-US" w:eastAsia="zh-CN" w:bidi="ar-SA"/>
        </w:rPr>
        <w:t>学位论文应在住院医师规范化培训期间完成，学校和各培养基地不再单独安排时间。</w:t>
      </w:r>
    </w:p>
    <w:p>
      <w:pPr>
        <w:spacing w:line="560" w:lineRule="exact"/>
        <w:ind w:left="0" w:firstLine="640" w:firstLineChars="200"/>
        <w:jc w:val="both"/>
        <w:rPr>
          <w:rFonts w:hint="eastAsia" w:ascii="楷体_GB2312" w:hAnsi="宋体" w:eastAsia="楷体_GB2312" w:cs="Times New Roman"/>
          <w:b w:val="0"/>
          <w:bCs w:val="0"/>
          <w:color w:val="auto"/>
          <w:sz w:val="32"/>
          <w:szCs w:val="32"/>
          <w:highlight w:val="none"/>
        </w:rPr>
      </w:pPr>
      <w:r>
        <w:rPr>
          <w:rFonts w:hint="eastAsia" w:ascii="楷体_GB2312" w:hAnsi="宋体" w:eastAsia="楷体_GB2312" w:cs="Times New Roman"/>
          <w:b w:val="0"/>
          <w:bCs w:val="0"/>
          <w:color w:val="auto"/>
          <w:sz w:val="32"/>
          <w:szCs w:val="32"/>
          <w:highlight w:val="none"/>
        </w:rPr>
        <w:t>一、学位论文规范</w:t>
      </w:r>
    </w:p>
    <w:p>
      <w:pPr>
        <w:autoSpaceDE w:val="0"/>
        <w:autoSpaceDN w:val="0"/>
        <w:adjustRightInd w:val="0"/>
        <w:snapToGrid w:val="0"/>
        <w:spacing w:line="560" w:lineRule="exact"/>
        <w:ind w:left="0" w:firstLine="640" w:firstLineChars="200"/>
        <w:jc w:val="both"/>
        <w:rPr>
          <w:rFonts w:hint="eastAsia"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1</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rPr>
        <w:t>选题要求。选题应从临床实际出发，紧密结合临床需求，体现临床医学特点，具有科学性与实用性，鼓励与专业最新进展密切相关的自主选题。</w:t>
      </w:r>
    </w:p>
    <w:p>
      <w:pPr>
        <w:autoSpaceDE w:val="0"/>
        <w:autoSpaceDN w:val="0"/>
        <w:adjustRightInd w:val="0"/>
        <w:snapToGrid w:val="0"/>
        <w:spacing w:line="560" w:lineRule="exact"/>
        <w:ind w:left="0" w:firstLine="640" w:firstLineChars="200"/>
        <w:jc w:val="both"/>
        <w:rPr>
          <w:rFonts w:hint="eastAsia"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2</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rPr>
        <w:t>学位论文形式。学位论文可以是研究报告、临床经验总结、临床疗效评价、专业文献循证研究、文献综述、针对临床问题的实验研究等，学位论文正文字数不少于1万字。</w:t>
      </w:r>
    </w:p>
    <w:p>
      <w:pPr>
        <w:autoSpaceDE w:val="0"/>
        <w:autoSpaceDN w:val="0"/>
        <w:adjustRightInd w:val="0"/>
        <w:snapToGrid w:val="0"/>
        <w:spacing w:line="560" w:lineRule="exact"/>
        <w:ind w:left="0" w:firstLine="640" w:firstLineChars="200"/>
        <w:jc w:val="both"/>
        <w:rPr>
          <w:rFonts w:ascii="仿宋_GB2312" w:hAnsi="宋体" w:eastAsia="仿宋_GB2312" w:cs="Times New Roman"/>
          <w:color w:val="auto"/>
          <w:highlight w:val="none"/>
        </w:rPr>
      </w:pPr>
      <w:r>
        <w:rPr>
          <w:rFonts w:hint="eastAsia" w:ascii="仿宋_GB2312" w:hAnsi="宋体" w:eastAsia="仿宋_GB2312" w:cs="Times New Roman"/>
          <w:color w:val="auto"/>
          <w:sz w:val="32"/>
          <w:szCs w:val="32"/>
          <w:highlight w:val="none"/>
        </w:rPr>
        <w:t>3</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rPr>
        <w:t>学位论文要求。学位论文应符合学术规范要求。论文作者必须恪守学术道德规范和科研诚信原则。学位论文必须由研究者独立完成，与他人合作完成的学位论文需注明作者在其中的贡献度和具体研究内容。注重知识产权保护，研究资料和数据具有可溯源性。对涉及国家机密和尚不能公开的研究结果，以及临床研究报告论文中涉及研究对象隐私和权益等问题，应遵守国家有关法律法规执行。</w:t>
      </w:r>
    </w:p>
    <w:p>
      <w:pPr>
        <w:pStyle w:val="3"/>
        <w:spacing w:line="560" w:lineRule="exact"/>
        <w:ind w:left="0" w:firstLine="640" w:firstLineChars="200"/>
        <w:jc w:val="both"/>
        <w:rPr>
          <w:rFonts w:hint="eastAsia" w:ascii="楷体_GB2312" w:hAnsi="宋体" w:eastAsia="楷体_GB2312" w:cs="Times New Roman"/>
          <w:b w:val="0"/>
          <w:bCs w:val="0"/>
          <w:color w:val="auto"/>
          <w:sz w:val="32"/>
          <w:szCs w:val="32"/>
          <w:highlight w:val="none"/>
        </w:rPr>
      </w:pPr>
      <w:r>
        <w:rPr>
          <w:rFonts w:hint="eastAsia" w:ascii="楷体_GB2312" w:hAnsi="宋体" w:eastAsia="楷体_GB2312" w:cs="Times New Roman"/>
          <w:b w:val="0"/>
          <w:bCs w:val="0"/>
          <w:color w:val="auto"/>
          <w:sz w:val="32"/>
          <w:szCs w:val="32"/>
          <w:highlight w:val="none"/>
        </w:rPr>
        <w:t>二、学位论文开题报告</w:t>
      </w:r>
    </w:p>
    <w:p>
      <w:pPr>
        <w:adjustRightInd w:val="0"/>
        <w:snapToGrid w:val="0"/>
        <w:spacing w:line="56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s="Times New Roman"/>
          <w:color w:val="auto"/>
          <w:kern w:val="2"/>
          <w:sz w:val="32"/>
          <w:szCs w:val="32"/>
          <w:highlight w:val="none"/>
          <w:lang w:val="en-US" w:eastAsia="zh-CN" w:bidi="ar-SA"/>
        </w:rPr>
        <w:t>研究生在导师的指导下确定学位论文研究方向，在查阅大量文献资料的基础上作开题报告，确定研究课题。研究生查阅的文献资料应不少于60篇且为近五年的文献，其中外文文献资料一般应在三分之一以上。</w:t>
      </w:r>
    </w:p>
    <w:p>
      <w:pPr>
        <w:adjustRightInd w:val="0"/>
        <w:snapToGrid w:val="0"/>
        <w:spacing w:line="560" w:lineRule="exact"/>
        <w:ind w:left="0" w:leftChars="0" w:firstLine="640" w:firstLineChars="200"/>
        <w:jc w:val="both"/>
        <w:rPr>
          <w:rFonts w:hint="eastAsia"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学位论文开题应在</w:t>
      </w:r>
      <w:r>
        <w:rPr>
          <w:rFonts w:hint="eastAsia" w:ascii="仿宋_GB2312" w:hAnsi="宋体" w:eastAsia="仿宋_GB2312" w:cs="Times New Roman"/>
          <w:b w:val="0"/>
          <w:bCs w:val="0"/>
          <w:color w:val="auto"/>
          <w:sz w:val="32"/>
          <w:szCs w:val="32"/>
          <w:highlight w:val="none"/>
        </w:rPr>
        <w:t>第</w:t>
      </w:r>
      <w:r>
        <w:rPr>
          <w:rFonts w:hint="eastAsia" w:ascii="仿宋_GB2312" w:hAnsi="宋体" w:eastAsia="仿宋_GB2312" w:cs="Times New Roman"/>
          <w:b w:val="0"/>
          <w:bCs w:val="0"/>
          <w:color w:val="auto"/>
          <w:sz w:val="32"/>
          <w:szCs w:val="32"/>
          <w:highlight w:val="none"/>
          <w:lang w:val="en-US" w:eastAsia="zh-CN"/>
        </w:rPr>
        <w:t>二</w:t>
      </w:r>
      <w:r>
        <w:rPr>
          <w:rFonts w:hint="eastAsia" w:ascii="仿宋_GB2312" w:hAnsi="宋体" w:eastAsia="仿宋_GB2312" w:cs="Times New Roman"/>
          <w:b w:val="0"/>
          <w:bCs w:val="0"/>
          <w:color w:val="auto"/>
          <w:sz w:val="32"/>
          <w:szCs w:val="32"/>
          <w:highlight w:val="none"/>
        </w:rPr>
        <w:t>学期</w:t>
      </w:r>
      <w:r>
        <w:rPr>
          <w:rFonts w:hint="eastAsia" w:ascii="仿宋_GB2312" w:hAnsi="宋体" w:eastAsia="仿宋_GB2312" w:cs="Times New Roman"/>
          <w:color w:val="auto"/>
          <w:sz w:val="32"/>
          <w:szCs w:val="32"/>
          <w:highlight w:val="none"/>
        </w:rPr>
        <w:t>结束前完成。首次开题未获通过者，应在6个月内重新开题。研究生开题报告一般在培养单位（教研室、科室）内公开组织进行。</w:t>
      </w:r>
    </w:p>
    <w:p>
      <w:pPr>
        <w:pStyle w:val="3"/>
        <w:spacing w:line="560" w:lineRule="exact"/>
        <w:ind w:left="0" w:firstLine="640" w:firstLineChars="200"/>
        <w:jc w:val="both"/>
        <w:rPr>
          <w:rFonts w:hint="eastAsia" w:ascii="楷体_GB2312" w:hAnsi="宋体" w:eastAsia="楷体_GB2312" w:cs="Times New Roman"/>
          <w:b w:val="0"/>
          <w:bCs w:val="0"/>
          <w:color w:val="auto"/>
          <w:sz w:val="32"/>
          <w:szCs w:val="32"/>
          <w:highlight w:val="none"/>
        </w:rPr>
      </w:pPr>
      <w:r>
        <w:rPr>
          <w:rFonts w:hint="eastAsia" w:ascii="楷体_GB2312" w:hAnsi="宋体" w:eastAsia="楷体_GB2312" w:cs="Times New Roman"/>
          <w:b w:val="0"/>
          <w:bCs w:val="0"/>
          <w:color w:val="auto"/>
          <w:sz w:val="32"/>
          <w:szCs w:val="32"/>
          <w:highlight w:val="none"/>
        </w:rPr>
        <w:t>三、学位论文中期检查与考核</w:t>
      </w:r>
    </w:p>
    <w:p>
      <w:pPr>
        <w:adjustRightInd w:val="0"/>
        <w:snapToGrid w:val="0"/>
        <w:spacing w:line="560" w:lineRule="exact"/>
        <w:ind w:left="0" w:firstLine="640" w:firstLineChars="200"/>
        <w:jc w:val="both"/>
        <w:rPr>
          <w:rFonts w:hint="eastAsia"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第四学期结束前由教研室或科室组成检查小组对研究生的学位论文工作进展情况进行检查与考核。对论文工作进展缓慢、投入时间和精力不足的研究生提出警告，或按学籍管理规定进行处理。</w:t>
      </w:r>
    </w:p>
    <w:p>
      <w:pPr>
        <w:spacing w:line="560" w:lineRule="exact"/>
        <w:ind w:left="0" w:firstLine="640" w:firstLineChars="200"/>
        <w:jc w:val="both"/>
        <w:rPr>
          <w:rFonts w:hint="eastAsia" w:ascii="楷体_GB2312" w:hAnsi="宋体" w:eastAsia="楷体_GB2312" w:cs="Times New Roman"/>
          <w:b w:val="0"/>
          <w:bCs w:val="0"/>
          <w:color w:val="auto"/>
          <w:sz w:val="32"/>
          <w:szCs w:val="32"/>
          <w:highlight w:val="none"/>
        </w:rPr>
      </w:pPr>
      <w:r>
        <w:rPr>
          <w:rFonts w:hint="eastAsia" w:ascii="楷体_GB2312" w:hAnsi="宋体" w:eastAsia="楷体_GB2312" w:cs="Times New Roman"/>
          <w:b w:val="0"/>
          <w:bCs w:val="0"/>
          <w:color w:val="auto"/>
          <w:sz w:val="32"/>
          <w:szCs w:val="32"/>
          <w:highlight w:val="none"/>
        </w:rPr>
        <w:t>四、学位论文答辩</w:t>
      </w:r>
    </w:p>
    <w:p>
      <w:pPr>
        <w:pStyle w:val="3"/>
        <w:spacing w:line="560" w:lineRule="exact"/>
        <w:ind w:left="0" w:firstLine="640" w:firstLineChars="200"/>
        <w:jc w:val="both"/>
        <w:rPr>
          <w:rFonts w:hint="eastAsia" w:ascii="仿宋_GB2312" w:hAnsi="宋体" w:eastAsia="仿宋_GB2312" w:cs="Times New Roman"/>
          <w:color w:val="auto"/>
          <w:kern w:val="0"/>
          <w:sz w:val="32"/>
          <w:szCs w:val="32"/>
          <w:highlight w:val="none"/>
        </w:rPr>
      </w:pPr>
      <w:r>
        <w:rPr>
          <w:rFonts w:hint="eastAsia" w:ascii="仿宋_GB2312" w:hAnsi="宋体" w:eastAsia="仿宋_GB2312" w:cs="Times New Roman"/>
          <w:color w:val="auto"/>
          <w:kern w:val="0"/>
          <w:sz w:val="32"/>
          <w:szCs w:val="32"/>
          <w:highlight w:val="none"/>
        </w:rPr>
        <w:t>研究生须按要求修完所有规定课程，成绩合格并取得规定学分，完成住院医师规范化培训各环节，通过毕业综合能力考核，方可申请学位论文答辩。学位论文答辩的具体要求和程序按照学校有关规定执行。</w:t>
      </w:r>
    </w:p>
    <w:p>
      <w:pPr>
        <w:adjustRightInd w:val="0"/>
        <w:snapToGrid w:val="0"/>
        <w:spacing w:line="560" w:lineRule="exact"/>
        <w:ind w:left="0" w:firstLine="640" w:firstLineChars="200"/>
        <w:jc w:val="both"/>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第</w:t>
      </w:r>
      <w:r>
        <w:rPr>
          <w:rFonts w:hint="eastAsia" w:ascii="黑体" w:hAnsi="宋体" w:eastAsia="黑体"/>
          <w:bCs/>
          <w:color w:val="auto"/>
          <w:sz w:val="32"/>
          <w:szCs w:val="32"/>
          <w:highlight w:val="none"/>
          <w:lang w:val="en-US" w:eastAsia="zh-CN"/>
        </w:rPr>
        <w:t>八</w:t>
      </w:r>
      <w:r>
        <w:rPr>
          <w:rFonts w:hint="eastAsia" w:ascii="黑体" w:hAnsi="宋体" w:eastAsia="黑体"/>
          <w:bCs/>
          <w:color w:val="auto"/>
          <w:sz w:val="32"/>
          <w:szCs w:val="32"/>
          <w:highlight w:val="none"/>
        </w:rPr>
        <w:t>条 学位申请与授予</w:t>
      </w:r>
    </w:p>
    <w:p>
      <w:pPr>
        <w:adjustRightInd w:val="0"/>
        <w:snapToGrid w:val="0"/>
        <w:spacing w:line="560" w:lineRule="exact"/>
        <w:ind w:left="0" w:firstLine="640" w:firstLineChars="200"/>
        <w:jc w:val="both"/>
        <w:rPr>
          <w:rFonts w:hint="eastAsia" w:ascii="楷体_GB2312" w:hAnsi="宋体" w:eastAsia="楷体_GB2312" w:cs="Times New Roman"/>
          <w:b w:val="0"/>
          <w:bCs w:val="0"/>
          <w:color w:val="auto"/>
          <w:sz w:val="32"/>
          <w:szCs w:val="32"/>
          <w:highlight w:val="none"/>
        </w:rPr>
      </w:pPr>
      <w:r>
        <w:rPr>
          <w:rFonts w:hint="eastAsia" w:ascii="楷体_GB2312" w:hAnsi="宋体" w:eastAsia="楷体_GB2312" w:cs="Times New Roman"/>
          <w:b w:val="0"/>
          <w:bCs w:val="0"/>
          <w:color w:val="auto"/>
          <w:sz w:val="32"/>
          <w:szCs w:val="32"/>
          <w:highlight w:val="none"/>
        </w:rPr>
        <w:t>一、申请条件</w:t>
      </w:r>
    </w:p>
    <w:p>
      <w:pPr>
        <w:adjustRightInd w:val="0"/>
        <w:snapToGrid w:val="0"/>
        <w:spacing w:line="560" w:lineRule="exact"/>
        <w:ind w:left="0" w:firstLine="640" w:firstLineChars="200"/>
        <w:jc w:val="both"/>
        <w:rPr>
          <w:rFonts w:hint="eastAsia" w:ascii="仿宋_GB2312" w:hAnsi="宋体" w:eastAsia="仿宋_GB2312" w:cs="Times New Roman"/>
          <w:color w:val="auto"/>
          <w:kern w:val="0"/>
          <w:sz w:val="32"/>
          <w:szCs w:val="32"/>
          <w:highlight w:val="none"/>
        </w:rPr>
      </w:pPr>
      <w:r>
        <w:rPr>
          <w:rFonts w:hint="eastAsia" w:ascii="仿宋_GB2312" w:hAnsi="宋体" w:eastAsia="仿宋_GB2312" w:cs="Times New Roman"/>
          <w:color w:val="auto"/>
          <w:kern w:val="0"/>
          <w:sz w:val="32"/>
          <w:szCs w:val="32"/>
          <w:highlight w:val="none"/>
        </w:rPr>
        <w:t>1.完成学校</w:t>
      </w:r>
      <w:r>
        <w:rPr>
          <w:rFonts w:hint="eastAsia" w:ascii="仿宋_GB2312" w:hAnsi="宋体" w:eastAsia="仿宋_GB2312" w:cs="Times New Roman"/>
          <w:color w:val="auto"/>
          <w:kern w:val="0"/>
          <w:sz w:val="32"/>
          <w:szCs w:val="32"/>
          <w:highlight w:val="none"/>
          <w:lang w:val="en-US" w:eastAsia="zh-CN"/>
        </w:rPr>
        <w:t>儿外科</w:t>
      </w:r>
      <w:r>
        <w:rPr>
          <w:rFonts w:hint="eastAsia" w:ascii="仿宋_GB2312" w:hAnsi="宋体" w:eastAsia="仿宋_GB2312" w:cs="Times New Roman"/>
          <w:color w:val="auto"/>
          <w:kern w:val="0"/>
          <w:sz w:val="32"/>
          <w:szCs w:val="32"/>
          <w:highlight w:val="none"/>
        </w:rPr>
        <w:t>学硕士专业学位研究生培养方案所规定的各项要求；</w:t>
      </w:r>
    </w:p>
    <w:p>
      <w:pPr>
        <w:adjustRightInd w:val="0"/>
        <w:snapToGrid w:val="0"/>
        <w:spacing w:line="560" w:lineRule="exact"/>
        <w:ind w:left="0" w:firstLine="640" w:firstLineChars="200"/>
        <w:jc w:val="both"/>
        <w:rPr>
          <w:rFonts w:hint="eastAsia" w:ascii="仿宋_GB2312" w:hAnsi="宋体" w:eastAsia="仿宋_GB2312" w:cs="Times New Roman"/>
          <w:color w:val="auto"/>
          <w:kern w:val="0"/>
          <w:sz w:val="32"/>
          <w:szCs w:val="32"/>
          <w:highlight w:val="none"/>
        </w:rPr>
      </w:pPr>
      <w:r>
        <w:rPr>
          <w:rFonts w:hint="eastAsia" w:ascii="仿宋_GB2312" w:hAnsi="宋体" w:eastAsia="仿宋_GB2312" w:cs="Times New Roman"/>
          <w:color w:val="auto"/>
          <w:kern w:val="0"/>
          <w:sz w:val="32"/>
          <w:szCs w:val="32"/>
          <w:highlight w:val="none"/>
        </w:rPr>
        <w:t>2.取得《医师资格证书》；</w:t>
      </w:r>
    </w:p>
    <w:p>
      <w:pPr>
        <w:adjustRightInd w:val="0"/>
        <w:snapToGrid w:val="0"/>
        <w:spacing w:line="560" w:lineRule="exact"/>
        <w:ind w:left="0" w:firstLine="640" w:firstLineChars="200"/>
        <w:jc w:val="both"/>
        <w:rPr>
          <w:rFonts w:hint="eastAsia" w:ascii="仿宋_GB2312" w:hAnsi="宋体" w:eastAsia="仿宋_GB2312" w:cs="Times New Roman"/>
          <w:color w:val="auto"/>
          <w:kern w:val="0"/>
          <w:sz w:val="32"/>
          <w:szCs w:val="32"/>
          <w:highlight w:val="none"/>
        </w:rPr>
      </w:pPr>
      <w:r>
        <w:rPr>
          <w:rFonts w:hint="eastAsia" w:ascii="仿宋_GB2312" w:hAnsi="宋体" w:eastAsia="仿宋_GB2312" w:cs="Times New Roman"/>
          <w:color w:val="auto"/>
          <w:kern w:val="0"/>
          <w:sz w:val="32"/>
          <w:szCs w:val="32"/>
          <w:highlight w:val="none"/>
        </w:rPr>
        <w:t>3.完成住院医师规范化培训并取得《住院医师规范化培训合格证书》；</w:t>
      </w:r>
    </w:p>
    <w:p>
      <w:pPr>
        <w:adjustRightInd w:val="0"/>
        <w:snapToGrid w:val="0"/>
        <w:spacing w:line="560" w:lineRule="exact"/>
        <w:ind w:left="0" w:firstLine="640" w:firstLineChars="200"/>
        <w:jc w:val="both"/>
        <w:rPr>
          <w:rFonts w:hint="eastAsia" w:ascii="仿宋_GB2312" w:hAnsi="宋体" w:eastAsia="仿宋_GB2312" w:cs="Times New Roman"/>
          <w:color w:val="auto"/>
          <w:kern w:val="0"/>
          <w:sz w:val="32"/>
          <w:szCs w:val="32"/>
          <w:highlight w:val="none"/>
        </w:rPr>
      </w:pPr>
      <w:r>
        <w:rPr>
          <w:rFonts w:hint="eastAsia" w:ascii="仿宋_GB2312" w:hAnsi="宋体" w:eastAsia="仿宋_GB2312" w:cs="Times New Roman"/>
          <w:color w:val="auto"/>
          <w:kern w:val="0"/>
          <w:sz w:val="32"/>
          <w:szCs w:val="32"/>
          <w:highlight w:val="none"/>
        </w:rPr>
        <w:t>4.通过硕士学位论文答辩。</w:t>
      </w:r>
    </w:p>
    <w:p>
      <w:pPr>
        <w:adjustRightInd w:val="0"/>
        <w:snapToGrid w:val="0"/>
        <w:spacing w:line="560" w:lineRule="exact"/>
        <w:ind w:left="0" w:firstLine="640" w:firstLineChars="200"/>
        <w:jc w:val="both"/>
        <w:rPr>
          <w:rFonts w:hint="eastAsia" w:ascii="楷体_GB2312" w:hAnsi="宋体" w:eastAsia="楷体_GB2312" w:cs="Times New Roman"/>
          <w:b w:val="0"/>
          <w:bCs w:val="0"/>
          <w:color w:val="auto"/>
          <w:sz w:val="32"/>
          <w:szCs w:val="32"/>
          <w:highlight w:val="none"/>
        </w:rPr>
      </w:pPr>
      <w:r>
        <w:rPr>
          <w:rFonts w:hint="eastAsia" w:ascii="楷体_GB2312" w:hAnsi="宋体" w:eastAsia="楷体_GB2312" w:cs="Times New Roman"/>
          <w:b w:val="0"/>
          <w:bCs w:val="0"/>
          <w:color w:val="auto"/>
          <w:sz w:val="32"/>
          <w:szCs w:val="32"/>
          <w:highlight w:val="none"/>
        </w:rPr>
        <w:t>二、学位授予</w:t>
      </w:r>
    </w:p>
    <w:p>
      <w:pPr>
        <w:adjustRightInd w:val="0"/>
        <w:snapToGrid w:val="0"/>
        <w:spacing w:line="560" w:lineRule="exact"/>
        <w:ind w:left="0" w:firstLine="640" w:firstLineChars="200"/>
        <w:jc w:val="both"/>
        <w:rPr>
          <w:rFonts w:hint="eastAsia" w:ascii="仿宋_GB2312" w:hAnsi="宋体" w:eastAsia="仿宋_GB2312" w:cs="Times New Roman"/>
          <w:color w:val="auto"/>
          <w:kern w:val="0"/>
          <w:sz w:val="32"/>
          <w:szCs w:val="32"/>
          <w:highlight w:val="none"/>
        </w:rPr>
      </w:pPr>
      <w:r>
        <w:rPr>
          <w:rFonts w:hint="eastAsia" w:ascii="仿宋_GB2312" w:hAnsi="宋体" w:eastAsia="仿宋_GB2312" w:cs="Times New Roman"/>
          <w:color w:val="auto"/>
          <w:kern w:val="0"/>
          <w:sz w:val="32"/>
          <w:szCs w:val="32"/>
          <w:highlight w:val="none"/>
        </w:rPr>
        <w:t>研究生完成培养方案要求的培养环节，取得相应学分，考试、考核合格，通过学位论文答辩，经学生个人申请，导师、培养单位、</w:t>
      </w:r>
      <w:r>
        <w:rPr>
          <w:rFonts w:hint="eastAsia" w:ascii="仿宋_GB2312" w:hAnsi="宋体" w:eastAsia="仿宋_GB2312" w:cs="Times New Roman"/>
          <w:color w:val="auto"/>
          <w:kern w:val="0"/>
          <w:sz w:val="32"/>
          <w:szCs w:val="32"/>
          <w:highlight w:val="none"/>
          <w:lang w:val="en-US" w:eastAsia="zh-CN"/>
        </w:rPr>
        <w:t>学校</w:t>
      </w:r>
      <w:r>
        <w:rPr>
          <w:rFonts w:hint="eastAsia" w:ascii="仿宋_GB2312" w:hAnsi="宋体" w:eastAsia="仿宋_GB2312" w:cs="Times New Roman"/>
          <w:color w:val="auto"/>
          <w:kern w:val="0"/>
          <w:sz w:val="32"/>
          <w:szCs w:val="32"/>
          <w:highlight w:val="none"/>
        </w:rPr>
        <w:t>审核，学校学位评定委员会批准，授予</w:t>
      </w:r>
      <w:r>
        <w:rPr>
          <w:rFonts w:hint="eastAsia" w:ascii="仿宋_GB2312" w:hAnsi="宋体" w:eastAsia="仿宋_GB2312" w:cs="Times New Roman"/>
          <w:color w:val="auto"/>
          <w:kern w:val="0"/>
          <w:sz w:val="32"/>
          <w:szCs w:val="32"/>
          <w:highlight w:val="none"/>
          <w:lang w:val="en-US" w:eastAsia="zh-CN"/>
        </w:rPr>
        <w:t>儿外科</w:t>
      </w:r>
      <w:r>
        <w:rPr>
          <w:rFonts w:hint="eastAsia" w:ascii="仿宋_GB2312" w:hAnsi="宋体" w:eastAsia="仿宋_GB2312" w:cs="Times New Roman"/>
          <w:color w:val="auto"/>
          <w:kern w:val="0"/>
          <w:sz w:val="32"/>
          <w:szCs w:val="32"/>
          <w:highlight w:val="none"/>
        </w:rPr>
        <w:t>学硕士专业学位。</w:t>
      </w:r>
    </w:p>
    <w:p>
      <w:pPr>
        <w:adjustRightInd w:val="0"/>
        <w:snapToGrid w:val="0"/>
        <w:spacing w:line="560" w:lineRule="exact"/>
        <w:ind w:firstLine="640" w:firstLineChars="200"/>
        <w:rPr>
          <w:rFonts w:hint="eastAsia" w:ascii="黑体" w:hAnsi="宋体" w:eastAsia="黑体"/>
          <w:bCs/>
          <w:color w:val="auto"/>
          <w:sz w:val="32"/>
          <w:szCs w:val="32"/>
          <w:highlight w:val="none"/>
        </w:rPr>
      </w:pPr>
      <w:r>
        <w:rPr>
          <w:rFonts w:hint="eastAsia" w:ascii="黑体" w:hAnsi="宋体" w:eastAsia="黑体" w:cs="Times New Roman"/>
          <w:bCs/>
          <w:color w:val="auto"/>
          <w:kern w:val="2"/>
          <w:sz w:val="32"/>
          <w:szCs w:val="32"/>
          <w:highlight w:val="none"/>
          <w:lang w:val="en-US" w:eastAsia="zh-CN" w:bidi="ar-SA"/>
        </w:rPr>
        <w:t>第九条 分流机制</w:t>
      </w:r>
    </w:p>
    <w:p>
      <w:pPr>
        <w:adjustRightInd w:val="0"/>
        <w:snapToGrid w:val="0"/>
        <w:spacing w:line="560" w:lineRule="exact"/>
        <w:ind w:firstLine="640" w:firstLineChars="200"/>
        <w:rPr>
          <w:rFonts w:hint="eastAsia" w:ascii="仿宋_GB2312" w:hAnsi="宋体" w:eastAsia="仿宋_GB2312" w:cs="Times New Roman"/>
          <w:color w:val="auto"/>
          <w:kern w:val="0"/>
          <w:sz w:val="32"/>
          <w:szCs w:val="32"/>
          <w:highlight w:val="none"/>
          <w:lang w:val="en-US" w:eastAsia="zh-CN" w:bidi="ar-SA"/>
        </w:rPr>
      </w:pPr>
      <w:r>
        <w:rPr>
          <w:rFonts w:hint="eastAsia" w:ascii="仿宋_GB2312" w:hAnsi="宋体" w:eastAsia="仿宋_GB2312" w:cs="Times New Roman"/>
          <w:color w:val="auto"/>
          <w:kern w:val="0"/>
          <w:sz w:val="32"/>
          <w:szCs w:val="32"/>
          <w:highlight w:val="none"/>
          <w:lang w:val="en-US" w:eastAsia="zh-CN" w:bidi="ar-SA"/>
        </w:rPr>
        <w:t>一、临床医学硕士专业学位研究生在基本培养周期（3 年）内，未通过学位课程考核、国家执业医师资格考试、住院医师规范化培训考核或学位论文答辩者，经学校批准，可适当延长学习年限。</w:t>
      </w:r>
    </w:p>
    <w:p>
      <w:pPr>
        <w:adjustRightInd w:val="0"/>
        <w:snapToGrid w:val="0"/>
        <w:spacing w:line="560" w:lineRule="exact"/>
        <w:ind w:firstLine="640" w:firstLineChars="200"/>
        <w:rPr>
          <w:rFonts w:hint="eastAsia" w:ascii="仿宋_GB2312" w:hAnsi="宋体" w:eastAsia="仿宋_GB2312" w:cs="Times New Roman"/>
          <w:color w:val="auto"/>
          <w:kern w:val="0"/>
          <w:sz w:val="32"/>
          <w:szCs w:val="32"/>
          <w:highlight w:val="none"/>
          <w:lang w:val="en-US" w:eastAsia="zh-CN" w:bidi="ar-SA"/>
        </w:rPr>
      </w:pPr>
      <w:r>
        <w:rPr>
          <w:rFonts w:hint="eastAsia" w:ascii="仿宋_GB2312" w:hAnsi="宋体" w:eastAsia="仿宋_GB2312" w:cs="Times New Roman"/>
          <w:color w:val="auto"/>
          <w:kern w:val="0"/>
          <w:sz w:val="32"/>
          <w:szCs w:val="32"/>
          <w:highlight w:val="none"/>
          <w:lang w:val="en-US" w:eastAsia="zh-CN" w:bidi="ar-SA"/>
        </w:rPr>
        <w:t>二、对在规定的学习年限内获得《医师资格证书》、完成学位课程考核，但未获得《住院医师规范化培训合格证书》者，可对其进行毕业考核和论文答辩，准予毕业。毕业后三年内取得《住院医师规范化培训合格证书》者，可回学校申请硕士专业学位。</w:t>
      </w:r>
    </w:p>
    <w:p>
      <w:pPr>
        <w:adjustRightInd w:val="0"/>
        <w:snapToGrid w:val="0"/>
        <w:spacing w:line="560" w:lineRule="exact"/>
        <w:ind w:firstLine="640" w:firstLineChars="200"/>
        <w:rPr>
          <w:rFonts w:hint="eastAsia" w:ascii="黑体" w:hAnsi="宋体" w:eastAsia="黑体"/>
          <w:bCs/>
          <w:color w:val="auto"/>
          <w:sz w:val="32"/>
          <w:szCs w:val="32"/>
          <w:highlight w:val="none"/>
        </w:rPr>
      </w:pPr>
      <w:r>
        <w:rPr>
          <w:rFonts w:hint="eastAsia" w:ascii="黑体" w:hAnsi="宋体" w:eastAsia="黑体" w:cs="Times New Roman"/>
          <w:bCs/>
          <w:color w:val="auto"/>
          <w:kern w:val="2"/>
          <w:sz w:val="32"/>
          <w:szCs w:val="32"/>
          <w:highlight w:val="none"/>
          <w:lang w:val="en-US" w:eastAsia="zh-CN" w:bidi="ar-SA"/>
        </w:rPr>
        <w:t>第十条 组织管理</w:t>
      </w:r>
    </w:p>
    <w:p>
      <w:pPr>
        <w:widowControl/>
        <w:adjustRightInd/>
        <w:snapToGrid w:val="0"/>
        <w:spacing w:line="560" w:lineRule="exact"/>
        <w:ind w:firstLine="640" w:firstLineChars="200"/>
        <w:jc w:val="both"/>
        <w:rPr>
          <w:rFonts w:hint="eastAsia" w:ascii="仿宋_GB2312" w:hAnsi="宋体" w:eastAsia="仿宋_GB2312" w:cs="宋体"/>
          <w:color w:val="auto"/>
          <w:kern w:val="0"/>
          <w:sz w:val="32"/>
          <w:szCs w:val="32"/>
          <w:highlight w:val="none"/>
          <w:lang w:val="en-US" w:eastAsia="zh-CN" w:bidi="ar-SA"/>
        </w:rPr>
      </w:pPr>
      <w:r>
        <w:rPr>
          <w:rFonts w:hint="eastAsia" w:ascii="仿宋_GB2312" w:hAnsi="宋体" w:eastAsia="仿宋_GB2312" w:cs="宋体"/>
          <w:color w:val="auto"/>
          <w:kern w:val="0"/>
          <w:sz w:val="32"/>
          <w:szCs w:val="32"/>
          <w:highlight w:val="none"/>
          <w:lang w:val="en-US" w:eastAsia="zh-CN" w:bidi="ar-SA"/>
        </w:rPr>
        <w:t>一、学校及各培养基地研究生管理部门负责专业学位研究生教育工作的组织与协调。</w:t>
      </w:r>
    </w:p>
    <w:p>
      <w:pPr>
        <w:widowControl/>
        <w:adjustRightInd/>
        <w:snapToGrid w:val="0"/>
        <w:spacing w:line="560" w:lineRule="exact"/>
        <w:ind w:firstLine="640" w:firstLineChars="200"/>
        <w:jc w:val="both"/>
        <w:rPr>
          <w:rFonts w:hint="eastAsia" w:ascii="仿宋_GB2312" w:hAnsi="宋体" w:eastAsia="仿宋_GB2312" w:cs="宋体"/>
          <w:color w:val="auto"/>
          <w:kern w:val="0"/>
          <w:sz w:val="32"/>
          <w:szCs w:val="32"/>
          <w:highlight w:val="none"/>
          <w:lang w:val="en-US" w:eastAsia="zh-CN" w:bidi="ar-SA"/>
        </w:rPr>
      </w:pPr>
      <w:r>
        <w:rPr>
          <w:rFonts w:hint="eastAsia" w:ascii="仿宋_GB2312" w:hAnsi="宋体" w:eastAsia="仿宋_GB2312" w:cs="宋体"/>
          <w:color w:val="auto"/>
          <w:kern w:val="0"/>
          <w:sz w:val="32"/>
          <w:szCs w:val="32"/>
          <w:highlight w:val="none"/>
          <w:lang w:val="en-US" w:eastAsia="zh-CN" w:bidi="ar-SA"/>
        </w:rPr>
        <w:t>二、专业学位研究生教育工作在学校学位评定委员会指导下进行。</w:t>
      </w:r>
    </w:p>
    <w:p>
      <w:pPr>
        <w:widowControl/>
        <w:adjustRightInd/>
        <w:snapToGrid w:val="0"/>
        <w:spacing w:line="560" w:lineRule="exact"/>
        <w:ind w:firstLine="640" w:firstLineChars="200"/>
        <w:jc w:val="both"/>
        <w:rPr>
          <w:rFonts w:hint="eastAsia" w:ascii="仿宋_GB2312" w:hAnsi="宋体" w:eastAsia="仿宋_GB2312" w:cs="宋体"/>
          <w:color w:val="auto"/>
          <w:kern w:val="0"/>
          <w:sz w:val="32"/>
          <w:szCs w:val="32"/>
          <w:highlight w:val="none"/>
          <w:lang w:val="en-US" w:eastAsia="zh-CN" w:bidi="ar-SA"/>
        </w:rPr>
      </w:pPr>
      <w:r>
        <w:rPr>
          <w:rFonts w:hint="eastAsia" w:ascii="仿宋_GB2312" w:hAnsi="宋体" w:eastAsia="仿宋_GB2312" w:cs="宋体"/>
          <w:color w:val="auto"/>
          <w:kern w:val="0"/>
          <w:sz w:val="32"/>
          <w:szCs w:val="32"/>
          <w:highlight w:val="none"/>
          <w:lang w:val="en-US" w:eastAsia="zh-CN" w:bidi="ar-SA"/>
        </w:rPr>
        <w:t>三、导师为研究生培养第一责任人，临床轮转期间实行导师和带教老师负责制。各轮转科室需成立指导小组，并且指定带教老师，具体负责指导研究生的临床能力训练。</w:t>
      </w:r>
    </w:p>
    <w:p>
      <w:pPr>
        <w:widowControl/>
        <w:adjustRightInd/>
        <w:snapToGrid w:val="0"/>
        <w:spacing w:line="560" w:lineRule="exact"/>
        <w:ind w:firstLine="640" w:firstLineChars="200"/>
        <w:jc w:val="both"/>
        <w:rPr>
          <w:rFonts w:hint="eastAsia" w:ascii="仿宋_GB2312" w:hAnsi="宋体" w:eastAsia="仿宋_GB2312" w:cs="宋体"/>
          <w:color w:val="auto"/>
          <w:kern w:val="0"/>
          <w:sz w:val="32"/>
          <w:szCs w:val="32"/>
          <w:highlight w:val="none"/>
          <w:lang w:val="en-US" w:eastAsia="zh-CN" w:bidi="ar-SA"/>
        </w:rPr>
      </w:pPr>
      <w:r>
        <w:rPr>
          <w:rFonts w:hint="eastAsia" w:ascii="仿宋_GB2312" w:hAnsi="宋体" w:eastAsia="仿宋_GB2312" w:cs="宋体"/>
          <w:color w:val="auto"/>
          <w:kern w:val="0"/>
          <w:sz w:val="32"/>
          <w:szCs w:val="32"/>
          <w:highlight w:val="none"/>
          <w:lang w:val="en-US" w:eastAsia="zh-CN" w:bidi="ar-SA"/>
        </w:rPr>
        <w:t>四、各培养基地具体负责研究生的临床轮转、日常考核、出科考核、毕业综合考核、住院医师规范化培训合格考试等工作的安排和实施。</w:t>
      </w:r>
    </w:p>
    <w:p>
      <w:pPr>
        <w:widowControl/>
        <w:adjustRightInd/>
        <w:snapToGrid w:val="0"/>
        <w:spacing w:line="560" w:lineRule="exact"/>
        <w:ind w:firstLine="640" w:firstLineChars="200"/>
        <w:jc w:val="both"/>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bidi="ar-SA"/>
        </w:rPr>
        <w:t>五、本培养方案和国家卫生计生委颁发的《住院医师规范化培训内容与标准（试行）》是指导研究生学习的依据，也是研究生毕业和学位授予审核的依据。</w:t>
      </w:r>
    </w:p>
    <w:p>
      <w:pPr>
        <w:adjustRightInd w:val="0"/>
        <w:snapToGrid w:val="0"/>
        <w:spacing w:line="560" w:lineRule="exact"/>
        <w:ind w:firstLine="640" w:firstLineChars="200"/>
        <w:rPr>
          <w:rFonts w:hint="eastAsia" w:ascii="黑体" w:hAnsi="宋体" w:eastAsia="黑体" w:cs="Times New Roman"/>
          <w:bCs/>
          <w:color w:val="auto"/>
          <w:kern w:val="2"/>
          <w:sz w:val="32"/>
          <w:szCs w:val="32"/>
          <w:highlight w:val="none"/>
          <w:lang w:val="en-US" w:eastAsia="zh-CN" w:bidi="ar-SA"/>
        </w:rPr>
      </w:pPr>
      <w:r>
        <w:rPr>
          <w:rFonts w:hint="eastAsia" w:ascii="黑体" w:hAnsi="宋体" w:eastAsia="黑体" w:cs="Times New Roman"/>
          <w:bCs/>
          <w:color w:val="auto"/>
          <w:kern w:val="2"/>
          <w:sz w:val="32"/>
          <w:szCs w:val="32"/>
          <w:highlight w:val="none"/>
          <w:lang w:val="en-US" w:eastAsia="zh-CN" w:bidi="ar-SA"/>
        </w:rPr>
        <w:t>第十一条 附则</w:t>
      </w:r>
    </w:p>
    <w:p>
      <w:pPr>
        <w:widowControl/>
        <w:shd w:val="clear" w:color="auto" w:fill="FFFFFF"/>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bidi="ar-SA"/>
        </w:rPr>
      </w:pPr>
      <w:r>
        <w:rPr>
          <w:rFonts w:hint="eastAsia" w:ascii="仿宋_GB2312" w:hAnsi="Helvetica" w:eastAsia="仿宋_GB2312" w:cs="Helvetica"/>
          <w:color w:val="auto"/>
          <w:kern w:val="0"/>
          <w:sz w:val="32"/>
          <w:szCs w:val="32"/>
          <w:highlight w:val="none"/>
          <w:lang w:val="en-US" w:eastAsia="zh-CN" w:bidi="ar-SA"/>
        </w:rPr>
        <w:t>一、本方案适用于攻读全日制临床医学硕士专业学位研究生，同等学力人员申请临床医学硕士专业学位参照本方案执行。</w:t>
      </w:r>
    </w:p>
    <w:p>
      <w:pPr>
        <w:widowControl/>
        <w:shd w:val="clear" w:color="auto" w:fill="FFFFFF"/>
        <w:adjustRightInd w:val="0"/>
        <w:snapToGrid w:val="0"/>
        <w:spacing w:line="560" w:lineRule="exact"/>
        <w:ind w:firstLine="640" w:firstLineChars="200"/>
        <w:jc w:val="both"/>
        <w:rPr>
          <w:rFonts w:hint="eastAsia" w:ascii="仿宋_GB2312" w:hAnsi="Helvetica" w:eastAsia="仿宋_GB2312" w:cs="Helvetica"/>
          <w:color w:val="auto"/>
          <w:kern w:val="0"/>
          <w:sz w:val="32"/>
          <w:szCs w:val="32"/>
          <w:highlight w:val="none"/>
          <w:lang w:val="en-US" w:eastAsia="zh-CN" w:bidi="ar-SA"/>
        </w:rPr>
      </w:pPr>
      <w:r>
        <w:rPr>
          <w:rFonts w:hint="eastAsia" w:ascii="仿宋_GB2312" w:hAnsi="Helvetica" w:eastAsia="仿宋_GB2312" w:cs="Helvetica"/>
          <w:color w:val="auto"/>
          <w:kern w:val="0"/>
          <w:sz w:val="32"/>
          <w:szCs w:val="32"/>
          <w:highlight w:val="none"/>
          <w:lang w:val="en-US" w:eastAsia="zh-CN" w:bidi="ar-SA"/>
        </w:rPr>
        <w:t>二、本方案自公布之日起实施，由研究生处负责解释。</w:t>
      </w:r>
    </w:p>
    <w:bookmarkEnd w:id="1"/>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kMjRiYzljMjcwMjRhYzRkZWE1YmUyYzk3ZDJjYmMifQ=="/>
  </w:docVars>
  <w:rsids>
    <w:rsidRoot w:val="00172A27"/>
    <w:rsid w:val="00037378"/>
    <w:rsid w:val="000463FF"/>
    <w:rsid w:val="00096D18"/>
    <w:rsid w:val="000E4DB6"/>
    <w:rsid w:val="000E7123"/>
    <w:rsid w:val="000F7946"/>
    <w:rsid w:val="00120C92"/>
    <w:rsid w:val="00172A27"/>
    <w:rsid w:val="001978F9"/>
    <w:rsid w:val="001A3943"/>
    <w:rsid w:val="001A4A98"/>
    <w:rsid w:val="001F42D8"/>
    <w:rsid w:val="00251A89"/>
    <w:rsid w:val="002B3A6C"/>
    <w:rsid w:val="002C1291"/>
    <w:rsid w:val="00316AE1"/>
    <w:rsid w:val="003456D8"/>
    <w:rsid w:val="00347EEB"/>
    <w:rsid w:val="00361DFE"/>
    <w:rsid w:val="00367E44"/>
    <w:rsid w:val="003B7D5E"/>
    <w:rsid w:val="00455064"/>
    <w:rsid w:val="004A4044"/>
    <w:rsid w:val="004A7281"/>
    <w:rsid w:val="00537C49"/>
    <w:rsid w:val="00557A96"/>
    <w:rsid w:val="005603BF"/>
    <w:rsid w:val="00626481"/>
    <w:rsid w:val="007020DE"/>
    <w:rsid w:val="00707EF9"/>
    <w:rsid w:val="007202B9"/>
    <w:rsid w:val="00762EA5"/>
    <w:rsid w:val="00804BC0"/>
    <w:rsid w:val="00847DE7"/>
    <w:rsid w:val="0090467E"/>
    <w:rsid w:val="00A352F2"/>
    <w:rsid w:val="00A50CED"/>
    <w:rsid w:val="00A95EF9"/>
    <w:rsid w:val="00AB27DE"/>
    <w:rsid w:val="00BA6E05"/>
    <w:rsid w:val="00BF2882"/>
    <w:rsid w:val="00C24092"/>
    <w:rsid w:val="00CD17E3"/>
    <w:rsid w:val="00CD2943"/>
    <w:rsid w:val="00CE0DA1"/>
    <w:rsid w:val="00D52A1D"/>
    <w:rsid w:val="00D55EA8"/>
    <w:rsid w:val="00DB2860"/>
    <w:rsid w:val="00E02303"/>
    <w:rsid w:val="00E77029"/>
    <w:rsid w:val="00F301C6"/>
    <w:rsid w:val="00F9031D"/>
    <w:rsid w:val="0136557F"/>
    <w:rsid w:val="061B6C83"/>
    <w:rsid w:val="09942824"/>
    <w:rsid w:val="09B84603"/>
    <w:rsid w:val="09D95B55"/>
    <w:rsid w:val="09F47888"/>
    <w:rsid w:val="0AEE5262"/>
    <w:rsid w:val="0BF801AE"/>
    <w:rsid w:val="0CD70DD5"/>
    <w:rsid w:val="0D6276FC"/>
    <w:rsid w:val="0E446795"/>
    <w:rsid w:val="0E805F90"/>
    <w:rsid w:val="0F515528"/>
    <w:rsid w:val="10A5002C"/>
    <w:rsid w:val="110773AE"/>
    <w:rsid w:val="120E19C5"/>
    <w:rsid w:val="12C51ED9"/>
    <w:rsid w:val="12D75BDD"/>
    <w:rsid w:val="15355834"/>
    <w:rsid w:val="16757794"/>
    <w:rsid w:val="17977E0F"/>
    <w:rsid w:val="18340A27"/>
    <w:rsid w:val="18E853FA"/>
    <w:rsid w:val="1B5E5C31"/>
    <w:rsid w:val="1B9D4121"/>
    <w:rsid w:val="1C576534"/>
    <w:rsid w:val="1C80194D"/>
    <w:rsid w:val="1D4145B5"/>
    <w:rsid w:val="1DA80C23"/>
    <w:rsid w:val="1DCD659D"/>
    <w:rsid w:val="1DE754AB"/>
    <w:rsid w:val="1EF6A1A0"/>
    <w:rsid w:val="1FFE4879"/>
    <w:rsid w:val="20323EEC"/>
    <w:rsid w:val="20CC36A1"/>
    <w:rsid w:val="21EF3B5B"/>
    <w:rsid w:val="2342557D"/>
    <w:rsid w:val="234C0E45"/>
    <w:rsid w:val="23BA3996"/>
    <w:rsid w:val="242833B5"/>
    <w:rsid w:val="26731D04"/>
    <w:rsid w:val="273E8B28"/>
    <w:rsid w:val="288100CB"/>
    <w:rsid w:val="2AEA5CA3"/>
    <w:rsid w:val="2B6F55CF"/>
    <w:rsid w:val="2BCF3D57"/>
    <w:rsid w:val="2BDF728F"/>
    <w:rsid w:val="2C485898"/>
    <w:rsid w:val="2C973389"/>
    <w:rsid w:val="2D2145CF"/>
    <w:rsid w:val="2D51E352"/>
    <w:rsid w:val="2DB906F0"/>
    <w:rsid w:val="2F7E3B8F"/>
    <w:rsid w:val="2F840F65"/>
    <w:rsid w:val="2FB54D86"/>
    <w:rsid w:val="2FFE05C6"/>
    <w:rsid w:val="312A3306"/>
    <w:rsid w:val="332F0681"/>
    <w:rsid w:val="34827E89"/>
    <w:rsid w:val="34CC549E"/>
    <w:rsid w:val="35423711"/>
    <w:rsid w:val="35FD6D2B"/>
    <w:rsid w:val="369E0EF6"/>
    <w:rsid w:val="36C66E7F"/>
    <w:rsid w:val="374A6DC6"/>
    <w:rsid w:val="3783321D"/>
    <w:rsid w:val="37D41F8E"/>
    <w:rsid w:val="38842718"/>
    <w:rsid w:val="3CD94DC0"/>
    <w:rsid w:val="3DBC6ED0"/>
    <w:rsid w:val="3E310C39"/>
    <w:rsid w:val="3ED736D2"/>
    <w:rsid w:val="3EE3457D"/>
    <w:rsid w:val="3F8169A1"/>
    <w:rsid w:val="3FDA93FA"/>
    <w:rsid w:val="40E013F9"/>
    <w:rsid w:val="41387FBC"/>
    <w:rsid w:val="41BC795D"/>
    <w:rsid w:val="41BE3750"/>
    <w:rsid w:val="41EF0857"/>
    <w:rsid w:val="42437F00"/>
    <w:rsid w:val="42680DF6"/>
    <w:rsid w:val="429D3BA4"/>
    <w:rsid w:val="42EB2B81"/>
    <w:rsid w:val="436C50F3"/>
    <w:rsid w:val="44391177"/>
    <w:rsid w:val="458B0293"/>
    <w:rsid w:val="46FD5715"/>
    <w:rsid w:val="479F39DF"/>
    <w:rsid w:val="47B65380"/>
    <w:rsid w:val="49161345"/>
    <w:rsid w:val="493D012B"/>
    <w:rsid w:val="4984392F"/>
    <w:rsid w:val="49A262E8"/>
    <w:rsid w:val="4D41465D"/>
    <w:rsid w:val="4D6EFE0E"/>
    <w:rsid w:val="504306EC"/>
    <w:rsid w:val="504B4079"/>
    <w:rsid w:val="508A758F"/>
    <w:rsid w:val="514A3A76"/>
    <w:rsid w:val="52A56E48"/>
    <w:rsid w:val="535D7D17"/>
    <w:rsid w:val="5385179E"/>
    <w:rsid w:val="53FD2067"/>
    <w:rsid w:val="54E8172C"/>
    <w:rsid w:val="55D3253A"/>
    <w:rsid w:val="56E61A1F"/>
    <w:rsid w:val="56F81491"/>
    <w:rsid w:val="57B34565"/>
    <w:rsid w:val="584049B3"/>
    <w:rsid w:val="58FD194C"/>
    <w:rsid w:val="590E32E9"/>
    <w:rsid w:val="5B626303"/>
    <w:rsid w:val="5BF93230"/>
    <w:rsid w:val="5CA0231D"/>
    <w:rsid w:val="5E111569"/>
    <w:rsid w:val="5E3D50A6"/>
    <w:rsid w:val="5ED1D7B6"/>
    <w:rsid w:val="5EE518EC"/>
    <w:rsid w:val="5EF728E6"/>
    <w:rsid w:val="5F3B00F3"/>
    <w:rsid w:val="5F67300E"/>
    <w:rsid w:val="5F766AEE"/>
    <w:rsid w:val="5FBD92BE"/>
    <w:rsid w:val="600A59B6"/>
    <w:rsid w:val="60D43DE0"/>
    <w:rsid w:val="616E2689"/>
    <w:rsid w:val="625F3409"/>
    <w:rsid w:val="635F04A9"/>
    <w:rsid w:val="64133696"/>
    <w:rsid w:val="642705B2"/>
    <w:rsid w:val="65C61F0C"/>
    <w:rsid w:val="65CBF2A8"/>
    <w:rsid w:val="66634999"/>
    <w:rsid w:val="67F6A6B3"/>
    <w:rsid w:val="68D67EF7"/>
    <w:rsid w:val="6A2B41A8"/>
    <w:rsid w:val="6AA162E3"/>
    <w:rsid w:val="6AE14261"/>
    <w:rsid w:val="6B7314EF"/>
    <w:rsid w:val="6CF46C49"/>
    <w:rsid w:val="6D5F0365"/>
    <w:rsid w:val="6DAB3E73"/>
    <w:rsid w:val="6DFB5D59"/>
    <w:rsid w:val="6E4553EC"/>
    <w:rsid w:val="6F8364E0"/>
    <w:rsid w:val="6FDF9451"/>
    <w:rsid w:val="6FF8505E"/>
    <w:rsid w:val="6FFFEF6F"/>
    <w:rsid w:val="707E2AEB"/>
    <w:rsid w:val="735B65EE"/>
    <w:rsid w:val="74960126"/>
    <w:rsid w:val="75815E4A"/>
    <w:rsid w:val="76F55E79"/>
    <w:rsid w:val="76F76093"/>
    <w:rsid w:val="77165367"/>
    <w:rsid w:val="77BCF6FC"/>
    <w:rsid w:val="781B4F00"/>
    <w:rsid w:val="78D77BFA"/>
    <w:rsid w:val="7993773F"/>
    <w:rsid w:val="7A7B516F"/>
    <w:rsid w:val="7B476A33"/>
    <w:rsid w:val="7BE33679"/>
    <w:rsid w:val="7BEDE2B6"/>
    <w:rsid w:val="7C157BAC"/>
    <w:rsid w:val="7C550C3A"/>
    <w:rsid w:val="7D103F8F"/>
    <w:rsid w:val="7DE762AB"/>
    <w:rsid w:val="7DFD7001"/>
    <w:rsid w:val="7E266DD3"/>
    <w:rsid w:val="7E937AEC"/>
    <w:rsid w:val="7EBDCE13"/>
    <w:rsid w:val="7ED4AB87"/>
    <w:rsid w:val="7F987CF0"/>
    <w:rsid w:val="7FD665D7"/>
    <w:rsid w:val="7FFBB319"/>
    <w:rsid w:val="8BBB6CA4"/>
    <w:rsid w:val="8FDE6124"/>
    <w:rsid w:val="8FEE63E2"/>
    <w:rsid w:val="95B278E7"/>
    <w:rsid w:val="9BF7D8D1"/>
    <w:rsid w:val="9FE71148"/>
    <w:rsid w:val="A7F771D2"/>
    <w:rsid w:val="A8AA80FE"/>
    <w:rsid w:val="AEFE2945"/>
    <w:rsid w:val="AF7F6531"/>
    <w:rsid w:val="AFF21FE3"/>
    <w:rsid w:val="B56C13C0"/>
    <w:rsid w:val="B79F19DB"/>
    <w:rsid w:val="B7FF8D49"/>
    <w:rsid w:val="BB9B4587"/>
    <w:rsid w:val="BFDCAE62"/>
    <w:rsid w:val="BFDFB176"/>
    <w:rsid w:val="CB175D98"/>
    <w:rsid w:val="CCE78B23"/>
    <w:rsid w:val="D5D9C9F3"/>
    <w:rsid w:val="D6F823C5"/>
    <w:rsid w:val="DD4F4AA9"/>
    <w:rsid w:val="DEFB6FAD"/>
    <w:rsid w:val="DF5F8D40"/>
    <w:rsid w:val="DFFAB642"/>
    <w:rsid w:val="F5FF95CD"/>
    <w:rsid w:val="F75E035C"/>
    <w:rsid w:val="F7BDC84B"/>
    <w:rsid w:val="F9FD12B2"/>
    <w:rsid w:val="FDFEB5BA"/>
    <w:rsid w:val="FE6FECFC"/>
    <w:rsid w:val="FE789DF6"/>
    <w:rsid w:val="FF57E4A4"/>
    <w:rsid w:val="FF6EABAF"/>
    <w:rsid w:val="FFC9A920"/>
    <w:rsid w:val="FFD7A280"/>
    <w:rsid w:val="FFDDD11C"/>
    <w:rsid w:val="FFDEA3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ind w:left="1484"/>
      <w:outlineLvl w:val="0"/>
    </w:pPr>
    <w:rPr>
      <w:rFonts w:ascii="仿宋" w:hAnsi="仿宋" w:eastAsia="仿宋" w:cs="仿宋"/>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ind w:left="922"/>
    </w:pPr>
    <w:rPr>
      <w:rFonts w:ascii="仿宋" w:hAnsi="仿宋" w:eastAsia="仿宋" w:cs="仿宋"/>
      <w:sz w:val="28"/>
      <w:szCs w:val="28"/>
    </w:rPr>
  </w:style>
  <w:style w:type="paragraph" w:styleId="4">
    <w:name w:val="Plain Text"/>
    <w:basedOn w:val="1"/>
    <w:link w:val="18"/>
    <w:qFormat/>
    <w:uiPriority w:val="0"/>
    <w:rPr>
      <w:rFonts w:ascii="宋体" w:hAnsi="Courier New"/>
      <w:szCs w:val="20"/>
    </w:rPr>
  </w:style>
  <w:style w:type="paragraph" w:styleId="5">
    <w:name w:val="Balloon Text"/>
    <w:basedOn w:val="1"/>
    <w:link w:val="17"/>
    <w:qFormat/>
    <w:uiPriority w:val="0"/>
    <w:rPr>
      <w:sz w:val="18"/>
      <w:szCs w:val="18"/>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olor w:val="000000"/>
      <w:kern w:val="0"/>
      <w:sz w:val="20"/>
      <w:szCs w:val="20"/>
    </w:r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13">
    <w:name w:val="列出段落1"/>
    <w:basedOn w:val="1"/>
    <w:qFormat/>
    <w:uiPriority w:val="1"/>
    <w:pPr>
      <w:ind w:left="922" w:right="1040" w:firstLine="561"/>
    </w:pPr>
    <w:rPr>
      <w:rFonts w:ascii="仿宋" w:hAnsi="仿宋" w:eastAsia="仿宋" w:cs="仿宋"/>
    </w:rPr>
  </w:style>
  <w:style w:type="paragraph" w:customStyle="1" w:styleId="14">
    <w:name w:val="Table Paragraph"/>
    <w:basedOn w:val="1"/>
    <w:qFormat/>
    <w:uiPriority w:val="1"/>
    <w:pPr>
      <w:spacing w:before="57"/>
      <w:jc w:val="center"/>
    </w:pPr>
    <w:rPr>
      <w:rFonts w:ascii="仿宋" w:hAnsi="仿宋" w:eastAsia="仿宋" w:cs="仿宋"/>
    </w:rPr>
  </w:style>
  <w:style w:type="character" w:customStyle="1" w:styleId="15">
    <w:name w:val="页眉 字符"/>
    <w:basedOn w:val="12"/>
    <w:link w:val="7"/>
    <w:qFormat/>
    <w:uiPriority w:val="0"/>
    <w:rPr>
      <w:rFonts w:ascii="Calibri" w:hAnsi="Calibri" w:eastAsia="宋体" w:cs="Times New Roman"/>
      <w:kern w:val="2"/>
      <w:sz w:val="18"/>
      <w:szCs w:val="18"/>
    </w:rPr>
  </w:style>
  <w:style w:type="character" w:customStyle="1" w:styleId="16">
    <w:name w:val="页脚 字符"/>
    <w:basedOn w:val="12"/>
    <w:link w:val="6"/>
    <w:qFormat/>
    <w:uiPriority w:val="0"/>
    <w:rPr>
      <w:rFonts w:ascii="Calibri" w:hAnsi="Calibri" w:eastAsia="宋体" w:cs="Times New Roman"/>
      <w:kern w:val="2"/>
      <w:sz w:val="18"/>
      <w:szCs w:val="18"/>
    </w:rPr>
  </w:style>
  <w:style w:type="character" w:customStyle="1" w:styleId="17">
    <w:name w:val="批注框文本 字符"/>
    <w:basedOn w:val="12"/>
    <w:link w:val="5"/>
    <w:qFormat/>
    <w:uiPriority w:val="0"/>
    <w:rPr>
      <w:rFonts w:ascii="Calibri" w:hAnsi="Calibri" w:eastAsia="宋体" w:cs="Times New Roman"/>
      <w:kern w:val="2"/>
      <w:sz w:val="18"/>
      <w:szCs w:val="18"/>
    </w:rPr>
  </w:style>
  <w:style w:type="character" w:customStyle="1" w:styleId="18">
    <w:name w:val="纯文本 字符"/>
    <w:link w:val="4"/>
    <w:qFormat/>
    <w:uiPriority w:val="0"/>
    <w:rPr>
      <w:rFonts w:ascii="宋体" w:hAnsi="Courier New"/>
      <w:kern w:val="2"/>
      <w:sz w:val="21"/>
    </w:rPr>
  </w:style>
  <w:style w:type="character" w:customStyle="1" w:styleId="19">
    <w:name w:val="纯文本 字符1"/>
    <w:basedOn w:val="12"/>
    <w:qFormat/>
    <w:uiPriority w:val="0"/>
    <w:rPr>
      <w:rFonts w:ascii="宋体" w:hAnsi="Courier New" w:eastAsia="宋体" w:cs="Courier New"/>
      <w:kern w:val="2"/>
      <w:sz w:val="21"/>
      <w:szCs w:val="24"/>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11869</Words>
  <Characters>12101</Characters>
  <Lines>92</Lines>
  <Paragraphs>25</Paragraphs>
  <TotalTime>11</TotalTime>
  <ScaleCrop>false</ScaleCrop>
  <LinksUpToDate>false</LinksUpToDate>
  <CharactersWithSpaces>12240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2020-09-22T17:01:00Z</dcterms:created>
  <dc:creator>macbook</dc:creator>
  <cp:lastModifiedBy>星之</cp:lastModifiedBy>
  <cp:lastPrinted>2020-12-21T01:32:00Z</cp:lastPrinted>
  <dcterms:modified xsi:type="dcterms:W3CDTF">2022-10-29T03:16:06Z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9019B2D1BE89411595262FE3C5D265A8</vt:lpwstr>
  </property>
</Properties>
</file>